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58" w:rsidRDefault="004C3958" w:rsidP="004C3958">
      <w:pPr>
        <w:framePr w:w="5148" w:h="357" w:hSpace="227" w:wrap="around" w:vAnchor="text" w:hAnchor="page" w:x="1674" w:y="-957"/>
        <w:shd w:val="clear" w:color="FFFFFF" w:fill="auto"/>
        <w:rPr>
          <w:rFonts w:ascii="Arial" w:hAnsi="Arial" w:cs="Arial"/>
          <w:b/>
          <w:bCs/>
        </w:rPr>
      </w:pPr>
    </w:p>
    <w:p w:rsidR="004C3958" w:rsidRDefault="004C3958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-1028700</wp:posOffset>
                </wp:positionV>
                <wp:extent cx="7787005" cy="784860"/>
                <wp:effectExtent l="635" t="1905" r="3810" b="381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00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58" w:rsidRDefault="004C3958" w:rsidP="004C3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20300" cy="685800"/>
                                  <wp:effectExtent l="0" t="0" r="0" b="0"/>
                                  <wp:docPr id="2" name="Billede 2" descr="fa_logo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_logo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1in;margin-top:-81pt;width:613.15pt;height: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u9uQIAALoFAAAOAAAAZHJzL2Uyb0RvYy54bWysVNtu2zAMfR+wfxD07tpOlfiCOkUbx8OA&#10;7gK0+wDFlmOhtuRJSpxu2L+PknNtX4ZtfjAkkTrkIY94c7vrWrRlSnMpMhxeBRgxUcqKi3WGvz0V&#10;XoyRNlRUtJWCZfiFaXw7f//uZuhTNpGNbCumEIAInQ59hhtj+tT3ddmwjuor2TMBxlqqjhrYqrVf&#10;KToAetf6kyCY+YNUVa9kybSG03w04rnDr2tWmi91rZlBbYYhN+P+yv1X9u/Pb2i6VrRveLlPg/5F&#10;Fh3lAoIeoXJqKNoo/gaq46WSWtbmqpSdL+ual8xxADZh8IrNY0N75rhAcXR/LJP+f7Dl5+1XhXiV&#10;4WuMBO2gRU/sWZuatQZd2/IMvU7B67EHP7O7lztos6Oq+wdZPmsk5KKhYs3ulJJDw2gF6YX2pn92&#10;dcTRFmQ1fJIVxKEbIx3QrladrR1UAwE6tOnl2Bq2M6iEwyiKoyCYYlSCLYpJPHO982l6uN0rbT4w&#10;2SG7yLCC1jt0un3QxmZD04OLDSZkwdvWtb8VFwfgOJ5AbLhqbTYL182fSZAs42VMPDKZLT0S5Ll3&#10;VyyINyvCaJpf54tFHv6ycUOSNryqmLBhDsoKyZ91bq/xURNHbWnZ8srC2ZS0Wq8WrUJbCsou3Odq&#10;DpaTm3+ZhisCcHlFKZyQ4H6SeMUsjjxSkKmXREHsBWFyn8wCkpC8uKT0wAX7d0poyHAynUxHMZ2S&#10;fsUtcN9bbjTtuIHZ0fIuw/HRiaZWgktRudYayttxfVYKm/6pFNDuQ6OdYK1GR7Wa3WoHKFbFK1m9&#10;gHSVBGWBPmHgwaKR6gdGAwyPDOvvG6oYRu1HAfJPQkLstHEbMo0msFHnltW5hYoSoDJsMBqXCzNO&#10;qE2v+LqBSOODE/IOnkzNnZpPWe0fGgwIR2o/zOwEOt87r9PInf8GAAD//wMAUEsDBBQABgAIAAAA&#10;IQC7KNwb4AAAAA4BAAAPAAAAZHJzL2Rvd25yZXYueG1sTI/NTsMwEITvSLyDtUjcWrtpqEKIUyEQ&#10;VyrKj8TNjbdJRLyOYrcJb9/NCW6zu6PZb4rt5DpxxiG0njSslgoEUuVtS7WGj/eXRQYiREPWdJ5Q&#10;wy8G2JbXV4XJrR/pDc/7WAsOoZAbDU2MfS5lqBp0Jix9j8S3ox+ciTwOtbSDGTncdTJRaiOdaYk/&#10;NKbHpwarn/3Jafh8PX5/pWpXP7u7fvSTkuTupda3N9PjA4iIU/wzw4zP6FAy08GfyAbRaVis0pTL&#10;xFltElazR2XJGsSBd+ssBVkW8n+N8gIAAP//AwBQSwECLQAUAAYACAAAACEAtoM4kv4AAADhAQAA&#10;EwAAAAAAAAAAAAAAAAAAAAAAW0NvbnRlbnRfVHlwZXNdLnhtbFBLAQItABQABgAIAAAAIQA4/SH/&#10;1gAAAJQBAAALAAAAAAAAAAAAAAAAAC8BAABfcmVscy8ucmVsc1BLAQItABQABgAIAAAAIQBiNau9&#10;uQIAALoFAAAOAAAAAAAAAAAAAAAAAC4CAABkcnMvZTJvRG9jLnhtbFBLAQItABQABgAIAAAAIQC7&#10;KNwb4AAAAA4BAAAPAAAAAAAAAAAAAAAAABMFAABkcnMvZG93bnJldi54bWxQSwUGAAAAAAQABADz&#10;AAAAIAYAAAAA&#10;" filled="f" stroked="f">
                <v:textbox>
                  <w:txbxContent>
                    <w:p w:rsidR="004C3958" w:rsidRDefault="004C3958" w:rsidP="004C39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20300" cy="685800"/>
                            <wp:effectExtent l="0" t="0" r="0" b="0"/>
                            <wp:docPr id="2" name="Billede 2" descr="fa_logo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_logo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3958" w:rsidRPr="004C3958" w:rsidRDefault="004C3958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b/>
          <w:sz w:val="28"/>
          <w:szCs w:val="28"/>
        </w:rPr>
      </w:pPr>
      <w:bookmarkStart w:id="0" w:name="modtager"/>
      <w:bookmarkEnd w:id="0"/>
      <w:r w:rsidRPr="004C3958">
        <w:rPr>
          <w:b/>
          <w:sz w:val="28"/>
          <w:szCs w:val="28"/>
        </w:rPr>
        <w:t>Statusorientering om hændelsen på Fredericia Havn den 3. februar 2016</w:t>
      </w:r>
    </w:p>
    <w:p w:rsidR="004C3958" w:rsidRDefault="004C3958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4C3958" w:rsidRDefault="00866329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t>Frede</w:t>
      </w:r>
      <w:r w:rsidR="007437F5">
        <w:t>ricia Kommune og Dan Gødning var</w:t>
      </w:r>
      <w:r>
        <w:t xml:space="preserve"> før og efter som</w:t>
      </w:r>
      <w:r w:rsidR="007437F5">
        <w:t>merferien 2017</w:t>
      </w:r>
      <w:r>
        <w:t xml:space="preserve"> i dialog med hinanden</w:t>
      </w:r>
      <w:r w:rsidR="007437F5">
        <w:t xml:space="preserve"> på to møder</w:t>
      </w:r>
      <w:r>
        <w:t xml:space="preserve">. Det primære </w:t>
      </w:r>
      <w:r w:rsidR="007437F5">
        <w:t>formål</w:t>
      </w:r>
      <w:r w:rsidR="00270692">
        <w:t xml:space="preserve"> med disse møder har været at</w:t>
      </w:r>
      <w:r>
        <w:t xml:space="preserve"> se, hvorvidt det</w:t>
      </w:r>
      <w:r w:rsidR="007437F5">
        <w:t xml:space="preserve"> var muligt at få afklaret noget</w:t>
      </w:r>
      <w:r>
        <w:t xml:space="preserve"> af de</w:t>
      </w:r>
      <w:r w:rsidR="007437F5">
        <w:t>n forskel</w:t>
      </w:r>
      <w:r>
        <w:t>, der har været mellem parterne om opgørelsen af den mængde kvælstof, der er tilført henholdsvis Lillebælt og jorden i forbindelse med ulykken hos</w:t>
      </w:r>
      <w:r w:rsidR="007437F5">
        <w:t xml:space="preserve"> Dan Gødning den 3. februar 2016</w:t>
      </w:r>
      <w:r>
        <w:t xml:space="preserve">. </w:t>
      </w:r>
    </w:p>
    <w:p w:rsidR="00866329" w:rsidRDefault="00866329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866329" w:rsidRDefault="00866329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bCs/>
        </w:rPr>
      </w:pPr>
      <w:r>
        <w:t xml:space="preserve">På et møde den 10. august 2017 blev parterne enig om, at sætte de to parters respektive tekniske rådgivere sammen med det formål, at </w:t>
      </w:r>
      <w:r>
        <w:rPr>
          <w:bCs/>
        </w:rPr>
        <w:t>undersøges om forskellen i beregnede mængder tilført Lillebæl</w:t>
      </w:r>
      <w:r w:rsidR="007437F5">
        <w:rPr>
          <w:bCs/>
        </w:rPr>
        <w:t>t/ophobet i jorden kunne præciseres</w:t>
      </w:r>
      <w:r>
        <w:rPr>
          <w:bCs/>
        </w:rPr>
        <w:t xml:space="preserve"> yderligere.</w:t>
      </w:r>
    </w:p>
    <w:p w:rsidR="00866329" w:rsidRDefault="00866329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bCs/>
        </w:rPr>
      </w:pPr>
    </w:p>
    <w:p w:rsidR="00866329" w:rsidRPr="007437F5" w:rsidRDefault="00866329" w:rsidP="007437F5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  <w:rPr>
          <w:bCs/>
        </w:rPr>
      </w:pPr>
      <w:r>
        <w:rPr>
          <w:bCs/>
        </w:rPr>
        <w:t>Den 30. august 2017</w:t>
      </w:r>
      <w:r w:rsidR="007437F5">
        <w:rPr>
          <w:bCs/>
        </w:rPr>
        <w:t xml:space="preserve"> vendte de tekniske rådgivere tilbage</w:t>
      </w:r>
      <w:r>
        <w:rPr>
          <w:bCs/>
        </w:rPr>
        <w:t xml:space="preserve"> med en fælles vurdering, der fastlæ</w:t>
      </w:r>
      <w:r w:rsidR="007437F5">
        <w:rPr>
          <w:bCs/>
        </w:rPr>
        <w:t>gger, at c</w:t>
      </w:r>
      <w:r>
        <w:t>a. 2.045 tons kvælstof ikke</w:t>
      </w:r>
      <w:r w:rsidR="007437F5">
        <w:t xml:space="preserve"> kan</w:t>
      </w:r>
      <w:r>
        <w:t xml:space="preserve"> være tilført Lillebælt.</w:t>
      </w:r>
    </w:p>
    <w:p w:rsidR="00B547DC" w:rsidRDefault="00B547DC" w:rsidP="00B547DC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B547DC" w:rsidRDefault="00B547DC" w:rsidP="00B547DC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t>Tallet fremkommer ved, at der i forbindelse med og umiddelbart i forlængelse af ulykken</w:t>
      </w:r>
      <w:r w:rsidR="007430EF">
        <w:t>, efter de to tekniske rådgiveres samstemmende vurdering,</w:t>
      </w:r>
      <w:r>
        <w:t xml:space="preserve"> blev tilført jord og grundvand ca. 1.840 tons kvælstof, rensningsanlæg</w:t>
      </w:r>
      <w:r w:rsidR="007437F5">
        <w:t>get</w:t>
      </w:r>
      <w:r>
        <w:t xml:space="preserve"> ca. 145 tons kvælstof samt ca. 60 tons kvælstof, der blev opsamlet i forbindelse med ulykken.</w:t>
      </w:r>
    </w:p>
    <w:p w:rsidR="00866329" w:rsidRDefault="00866329" w:rsidP="00866329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866329" w:rsidRDefault="00B547DC" w:rsidP="00866329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t xml:space="preserve">Fredericia Kommune har i sit udkast til afgørelse om overhængende fare for </w:t>
      </w:r>
      <w:proofErr w:type="spellStart"/>
      <w:r>
        <w:t>miljøskade</w:t>
      </w:r>
      <w:proofErr w:type="spellEnd"/>
      <w:r>
        <w:t xml:space="preserve"> lagt til g</w:t>
      </w:r>
      <w:r w:rsidR="007430EF">
        <w:t>rund, at der blev tilført Lille</w:t>
      </w:r>
      <w:r>
        <w:t xml:space="preserve">bælt mindst 4.000 tons kvælstof ud af det samlede kvælstofspild på 4.800 tons. På baggrund af den enighed, der </w:t>
      </w:r>
      <w:r w:rsidR="007437F5">
        <w:t xml:space="preserve">nu </w:t>
      </w:r>
      <w:r>
        <w:t>er mellem de tekniske rådgiver, så kan denne vurdering ikke opretholdes længere.</w:t>
      </w:r>
    </w:p>
    <w:p w:rsidR="00B547DC" w:rsidRDefault="00B547DC" w:rsidP="00866329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AF40E9" w:rsidRDefault="00B547DC" w:rsidP="00866329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t>Fredericia Kommune skal nu vurdere den betydning som de nye oplysning vil få for sagen</w:t>
      </w:r>
      <w:r w:rsidR="000850B4">
        <w:t xml:space="preserve"> om overhængende fare for </w:t>
      </w:r>
      <w:proofErr w:type="spellStart"/>
      <w:r w:rsidR="000850B4">
        <w:t>miljøskade</w:t>
      </w:r>
      <w:proofErr w:type="spellEnd"/>
      <w:r w:rsidR="000850B4">
        <w:t xml:space="preserve"> i forbindelse med udslip af kvælstof til Lillebælt samt sagen om jordforurening af arealerne, hvor kvælstof er ophobet i jorden.</w:t>
      </w:r>
      <w:r>
        <w:t xml:space="preserve"> Fredericia Kommune har på den baggrund udsat partshøringsfristen, for Dan Gødning, til den 29. september 2017</w:t>
      </w:r>
      <w:r w:rsidR="000850B4">
        <w:t xml:space="preserve"> i forhold til miljøskadesagen</w:t>
      </w:r>
      <w:r>
        <w:t>.</w:t>
      </w:r>
      <w:r w:rsidR="000850B4">
        <w:t xml:space="preserve"> I forhold til jordforureningssagen indgår de nye oplysninger i det endelige påbud som Fredericia Kommune forventer at kunne fremsende til Dan Gødning ultim</w:t>
      </w:r>
      <w:r w:rsidR="00AF40E9">
        <w:t>o september/primo oktober 2017.</w:t>
      </w:r>
    </w:p>
    <w:p w:rsidR="00AF40E9" w:rsidRDefault="00AF40E9" w:rsidP="00866329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B547DC" w:rsidRDefault="00AF40E9" w:rsidP="00866329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t>Da Frederi</w:t>
      </w:r>
      <w:r w:rsidR="007437F5">
        <w:t>cia Kommune først skal vurdere</w:t>
      </w:r>
      <w:r>
        <w:t xml:space="preserve"> de nye oplysningers betydning for sagen, har Fredericia Kommune, på nuværende tidspunkt, ikke yderligere kommentarer til sagen.</w:t>
      </w:r>
    </w:p>
    <w:p w:rsidR="004C3958" w:rsidRDefault="004C3958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4C3958" w:rsidRDefault="004C3958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</w:p>
    <w:p w:rsidR="004C3958" w:rsidRPr="004C3958" w:rsidRDefault="004C3958" w:rsidP="004C3958">
      <w:pPr>
        <w:tabs>
          <w:tab w:val="left" w:pos="2160"/>
          <w:tab w:val="right" w:pos="5670"/>
          <w:tab w:val="decimal" w:pos="6804"/>
          <w:tab w:val="right" w:pos="7513"/>
          <w:tab w:val="decimal" w:pos="8647"/>
        </w:tabs>
      </w:pPr>
      <w:r>
        <w:rPr>
          <w:b/>
          <w:u w:val="single"/>
        </w:rPr>
        <w:t>Tidsoversigt:</w:t>
      </w:r>
    </w:p>
    <w:p w:rsidR="004C3958" w:rsidRDefault="004C3958" w:rsidP="004C3958">
      <w:pPr>
        <w:rPr>
          <w:bCs/>
        </w:rPr>
      </w:pPr>
      <w:r>
        <w:rPr>
          <w:bCs/>
        </w:rPr>
        <w:t xml:space="preserve">Fredericia Kommune har løbende og i hele sagsforløbet været i tæt dialog med Miljøstyrelsen da Miljøstyrelsen er resortmyndighed på miljøskadereglerne og derfor skal tilbyde en konsultationsordning til kommunen.  Miljøstyrelsen skal i sidste ende godkende Fredericia Kommunes afgørelsesudkast, inden den endelige afgørelse om overhængende fare for </w:t>
      </w:r>
      <w:proofErr w:type="spellStart"/>
      <w:r>
        <w:rPr>
          <w:bCs/>
        </w:rPr>
        <w:t>miljøskade</w:t>
      </w:r>
      <w:proofErr w:type="spellEnd"/>
      <w:r>
        <w:rPr>
          <w:bCs/>
        </w:rPr>
        <w:t xml:space="preserve"> kan træffes af Fredericia Kommune.</w:t>
      </w:r>
    </w:p>
    <w:p w:rsidR="00D8319D" w:rsidRDefault="00D8319D" w:rsidP="004C3958">
      <w:pPr>
        <w:rPr>
          <w:bCs/>
        </w:rPr>
      </w:pPr>
    </w:p>
    <w:p w:rsidR="00D8319D" w:rsidRDefault="00D8319D" w:rsidP="004C3958">
      <w:pPr>
        <w:rPr>
          <w:bCs/>
        </w:rPr>
      </w:pPr>
      <w:r>
        <w:rPr>
          <w:bCs/>
        </w:rPr>
        <w:t>3. februar 2016: Ulykke hos Dan Gødning A/S med stort spild af gødning.</w:t>
      </w:r>
    </w:p>
    <w:p w:rsidR="004C3958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 xml:space="preserve">12. februar 2016: Fredericia Kommune sender udkast til afgørelse om overhængende fare for </w:t>
      </w:r>
      <w:proofErr w:type="spellStart"/>
      <w:r w:rsidRPr="00BF28D1">
        <w:rPr>
          <w:bCs/>
        </w:rPr>
        <w:t>miljøskade</w:t>
      </w:r>
      <w:proofErr w:type="spellEnd"/>
      <w:r w:rsidRPr="00BF28D1">
        <w:rPr>
          <w:bCs/>
        </w:rPr>
        <w:t xml:space="preserve"> i forbindelse med udslip af palmeolie og kvælstof til Lillebælt.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 xml:space="preserve">26. februar 2016: Bruun &amp; Hjejle sender på vegne af Dan Gødning A/S og </w:t>
      </w:r>
      <w:proofErr w:type="spellStart"/>
      <w:r w:rsidRPr="00BF28D1">
        <w:rPr>
          <w:bCs/>
        </w:rPr>
        <w:t>Nagro</w:t>
      </w:r>
      <w:proofErr w:type="spellEnd"/>
      <w:r w:rsidRPr="00BF28D1">
        <w:rPr>
          <w:bCs/>
        </w:rPr>
        <w:t xml:space="preserve"> A/S partshøringssvar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18. maj 2016: Advokatfirmaet Jon Palle Buhl sender på vegne af Dan gødning A/S et brev med supplerende oplysninger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20. maj 2016: Advokatfirmaet Jon Palle Buhl sender på vegne af Dan Gødning A/S et brev med supplerende oplysninger til Fredericia Kommune.</w:t>
      </w:r>
    </w:p>
    <w:p w:rsidR="004C3958" w:rsidRPr="00BF28D1" w:rsidRDefault="004C3958" w:rsidP="004C3958">
      <w:pPr>
        <w:rPr>
          <w:bCs/>
        </w:rPr>
      </w:pPr>
    </w:p>
    <w:p w:rsidR="004C3958" w:rsidRPr="000A0CE3" w:rsidRDefault="004C3958" w:rsidP="00B92C33">
      <w:pPr>
        <w:pStyle w:val="Listeafsnit"/>
        <w:numPr>
          <w:ilvl w:val="0"/>
          <w:numId w:val="7"/>
        </w:numPr>
        <w:ind w:left="360"/>
        <w:rPr>
          <w:bCs/>
        </w:rPr>
      </w:pPr>
      <w:proofErr w:type="gramStart"/>
      <w:r w:rsidRPr="000A0CE3">
        <w:rPr>
          <w:bCs/>
        </w:rPr>
        <w:t>juni</w:t>
      </w:r>
      <w:proofErr w:type="gramEnd"/>
      <w:r w:rsidRPr="000A0CE3">
        <w:rPr>
          <w:bCs/>
        </w:rPr>
        <w:t xml:space="preserve"> 2016: Fredericia Kommune sender udkast til afgørelse om overhængende fare for </w:t>
      </w:r>
      <w:proofErr w:type="spellStart"/>
      <w:r w:rsidRPr="000A0CE3">
        <w:rPr>
          <w:bCs/>
        </w:rPr>
        <w:t>miljøskade</w:t>
      </w:r>
      <w:proofErr w:type="spellEnd"/>
      <w:r w:rsidRPr="000A0CE3">
        <w:rPr>
          <w:bCs/>
        </w:rPr>
        <w:t xml:space="preserve"> i forbindelse med udslip af palmeolie og kvælstof til Lillebælt.</w:t>
      </w:r>
    </w:p>
    <w:p w:rsidR="004C3958" w:rsidRPr="000A0CE3" w:rsidRDefault="004C3958" w:rsidP="000A0CE3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13. juni 2016: Advokatfirmaet Jon Palle Buhl sender et partshøringssvar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 xml:space="preserve">27. juni 2016: Fredericia Kommune sender udkast til afgørelse om overhængende fare for </w:t>
      </w:r>
      <w:proofErr w:type="spellStart"/>
      <w:r w:rsidRPr="00BF28D1">
        <w:rPr>
          <w:bCs/>
        </w:rPr>
        <w:t>miljøskade</w:t>
      </w:r>
      <w:proofErr w:type="spellEnd"/>
      <w:r w:rsidRPr="00BF28D1">
        <w:rPr>
          <w:bCs/>
        </w:rPr>
        <w:t xml:space="preserve"> i forbindelse med udslip af gødning til Lillebælt.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27. juni 2016: Advokatfirmaet Jon Palle Buhl sender et brev med supplerende oplysninger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8. august 2016: Advokatfirmaet Jon Palle Buhl sender på vegne af Dan Gødning A/S partshøringssvar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16. november 2016: Advokatfirmaet Jon Palle Buhl sender på vegne af Dan Gødning A/S supplerende partshøringssvar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17. marts 2017: Advokatfirmaet Jon Palle Buhl sender på vegne af Dan Gødning A/S et brev med supplerende oplysninger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 xml:space="preserve">23. maj 2017: Fredericia Kommune sender notat af 13.marts 2017 fra NIRAS og notat af 18. maj 2017 fra Aarhus Universitet, samt uddrag af rapporten fra Teknologisk Institut af januar 2017 i </w:t>
      </w:r>
      <w:proofErr w:type="spellStart"/>
      <w:r w:rsidRPr="00BF28D1">
        <w:rPr>
          <w:bCs/>
        </w:rPr>
        <w:t>forhøring</w:t>
      </w:r>
      <w:proofErr w:type="spellEnd"/>
      <w:r w:rsidRPr="00BF28D1">
        <w:rPr>
          <w:bCs/>
        </w:rPr>
        <w:t xml:space="preserve"> hos Advokatfirmaet Jon Palle Buhl.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30. maj 2017: Advokatfirmaet Jon Palle Buhl sender på vegne af Dan Gødning A/S et brev med supplerende oplysninger til Fredericia Kommune.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>31. maj 2017 Fredericia Kommune sender et brev med svar på brev af 30. maj 2017 til Advokatfirmaet Jon Palle Buhl.</w:t>
      </w:r>
    </w:p>
    <w:p w:rsidR="004C3958" w:rsidRPr="00BF28D1" w:rsidRDefault="004C3958" w:rsidP="004C3958">
      <w:pPr>
        <w:rPr>
          <w:bCs/>
        </w:rPr>
      </w:pPr>
    </w:p>
    <w:p w:rsidR="004C3958" w:rsidRDefault="004C3958" w:rsidP="004C3958">
      <w:pPr>
        <w:rPr>
          <w:bCs/>
        </w:rPr>
      </w:pPr>
      <w:r w:rsidRPr="00BF28D1">
        <w:rPr>
          <w:bCs/>
        </w:rPr>
        <w:t xml:space="preserve">13. juni 2017 Fredericia Kommune sender nyt udkast til afgørelse om overhængende fare for </w:t>
      </w:r>
      <w:proofErr w:type="spellStart"/>
      <w:r w:rsidRPr="00BF28D1">
        <w:rPr>
          <w:bCs/>
        </w:rPr>
        <w:t>miljøskade</w:t>
      </w:r>
      <w:proofErr w:type="spellEnd"/>
      <w:r w:rsidRPr="00BF28D1">
        <w:rPr>
          <w:bCs/>
        </w:rPr>
        <w:t xml:space="preserve"> i partshøring hos Dan Gødning A/S.</w:t>
      </w:r>
    </w:p>
    <w:p w:rsidR="000A0CE3" w:rsidRDefault="000A0CE3" w:rsidP="004C3958">
      <w:pPr>
        <w:rPr>
          <w:bCs/>
        </w:rPr>
      </w:pPr>
    </w:p>
    <w:p w:rsidR="000A0CE3" w:rsidRDefault="000A0CE3" w:rsidP="004C3958">
      <w:pPr>
        <w:rPr>
          <w:bCs/>
        </w:rPr>
      </w:pPr>
      <w:r>
        <w:rPr>
          <w:bCs/>
        </w:rPr>
        <w:t>16. juni 2017: Rapport fra DMR vedrørende supplerende jordbundsundersøgelser.</w:t>
      </w:r>
    </w:p>
    <w:p w:rsidR="000A0CE3" w:rsidRDefault="000A0CE3" w:rsidP="004C3958">
      <w:pPr>
        <w:rPr>
          <w:bCs/>
        </w:rPr>
      </w:pPr>
    </w:p>
    <w:p w:rsidR="000A0CE3" w:rsidRDefault="000A0CE3" w:rsidP="004C3958">
      <w:pPr>
        <w:rPr>
          <w:bCs/>
        </w:rPr>
      </w:pPr>
      <w:r>
        <w:rPr>
          <w:bCs/>
        </w:rPr>
        <w:t xml:space="preserve">26. juni 2017: Notat fra </w:t>
      </w:r>
      <w:proofErr w:type="spellStart"/>
      <w:r>
        <w:rPr>
          <w:bCs/>
        </w:rPr>
        <w:t>Niras</w:t>
      </w:r>
      <w:proofErr w:type="spellEnd"/>
      <w:r>
        <w:rPr>
          <w:bCs/>
        </w:rPr>
        <w:t>.</w:t>
      </w:r>
    </w:p>
    <w:p w:rsidR="000A0CE3" w:rsidRDefault="000A0CE3" w:rsidP="004C3958">
      <w:pPr>
        <w:rPr>
          <w:bCs/>
        </w:rPr>
      </w:pPr>
    </w:p>
    <w:p w:rsidR="000A0CE3" w:rsidRDefault="000A0CE3" w:rsidP="004C3958">
      <w:pPr>
        <w:rPr>
          <w:bCs/>
        </w:rPr>
      </w:pPr>
      <w:r>
        <w:rPr>
          <w:bCs/>
        </w:rPr>
        <w:t>26. juni 2017: Brev fra Advokatfirmaet Jon Palle Buhl med begæring udsættelse af partshøringsfrist.</w:t>
      </w:r>
    </w:p>
    <w:p w:rsidR="000A0CE3" w:rsidRDefault="000A0CE3" w:rsidP="004C3958">
      <w:pPr>
        <w:rPr>
          <w:bCs/>
        </w:rPr>
      </w:pPr>
    </w:p>
    <w:p w:rsidR="000A0CE3" w:rsidRDefault="000A0CE3" w:rsidP="004C3958">
      <w:pPr>
        <w:rPr>
          <w:bCs/>
        </w:rPr>
      </w:pPr>
      <w:r>
        <w:rPr>
          <w:bCs/>
        </w:rPr>
        <w:t xml:space="preserve">27. juni 2017: Brev fra Fredericia Kommune med udsættelse af partshøring til 18. august 2017. </w:t>
      </w:r>
    </w:p>
    <w:p w:rsidR="000A0CE3" w:rsidRDefault="000A0CE3" w:rsidP="004C3958">
      <w:pPr>
        <w:rPr>
          <w:bCs/>
        </w:rPr>
      </w:pPr>
    </w:p>
    <w:p w:rsidR="000A0CE3" w:rsidRDefault="007E11D8" w:rsidP="004C3958">
      <w:pPr>
        <w:rPr>
          <w:bCs/>
        </w:rPr>
      </w:pPr>
      <w:r>
        <w:rPr>
          <w:bCs/>
        </w:rPr>
        <w:t xml:space="preserve">29. juni 2017: Møde mellem Dan Gødnings, </w:t>
      </w:r>
      <w:proofErr w:type="spellStart"/>
      <w:r>
        <w:rPr>
          <w:bCs/>
        </w:rPr>
        <w:t>ADP´s</w:t>
      </w:r>
      <w:proofErr w:type="spellEnd"/>
      <w:r>
        <w:rPr>
          <w:bCs/>
        </w:rPr>
        <w:t xml:space="preserve"> og Fredericia Kommunes repræsentanter om sagens forløb og det videre forløb. Aftalt opføl</w:t>
      </w:r>
      <w:r w:rsidR="000A4BA2">
        <w:rPr>
          <w:bCs/>
        </w:rPr>
        <w:t>gningsmøde den 10. august 2017.</w:t>
      </w:r>
    </w:p>
    <w:p w:rsidR="000A4BA2" w:rsidRDefault="000A4BA2" w:rsidP="004C3958">
      <w:pPr>
        <w:rPr>
          <w:bCs/>
        </w:rPr>
      </w:pPr>
    </w:p>
    <w:p w:rsidR="000A4BA2" w:rsidRDefault="000A4BA2" w:rsidP="004C3958">
      <w:pPr>
        <w:rPr>
          <w:bCs/>
        </w:rPr>
      </w:pPr>
      <w:r>
        <w:rPr>
          <w:bCs/>
        </w:rPr>
        <w:t>30. juni 2017: Henvendelse fra Advokatfirmaet Jon Palle Buhl med anmodning om mødet.</w:t>
      </w:r>
    </w:p>
    <w:p w:rsidR="007E11D8" w:rsidRDefault="007E11D8" w:rsidP="004C3958">
      <w:pPr>
        <w:rPr>
          <w:bCs/>
        </w:rPr>
      </w:pPr>
    </w:p>
    <w:p w:rsidR="007E11D8" w:rsidRDefault="007E11D8" w:rsidP="004C3958">
      <w:pPr>
        <w:rPr>
          <w:bCs/>
        </w:rPr>
      </w:pPr>
      <w:r>
        <w:rPr>
          <w:bCs/>
        </w:rPr>
        <w:t>10. august 2017: Møde mellem Dan Gødnings repræsentanter og Fredericia Kommune. På mødet aftales det, at der skal afholdes et teknisk arbejdsmøde, hvor det undersøges om forskellen i beregnede mængder tilført Lillebælt/ophobet i jorden kan valideres yderligere.</w:t>
      </w:r>
    </w:p>
    <w:p w:rsidR="000A4BA2" w:rsidRDefault="000A4BA2" w:rsidP="004C3958">
      <w:pPr>
        <w:rPr>
          <w:bCs/>
        </w:rPr>
      </w:pPr>
    </w:p>
    <w:p w:rsidR="000A4BA2" w:rsidRDefault="000A4BA2" w:rsidP="004C3958">
      <w:pPr>
        <w:rPr>
          <w:bCs/>
        </w:rPr>
      </w:pPr>
      <w:r>
        <w:rPr>
          <w:bCs/>
        </w:rPr>
        <w:t xml:space="preserve">11. august 2017: Udsættelse af partshøringsfristen til 1. september 2017. </w:t>
      </w:r>
    </w:p>
    <w:p w:rsidR="000A4BA2" w:rsidRDefault="000A4BA2" w:rsidP="004C3958">
      <w:pPr>
        <w:rPr>
          <w:bCs/>
        </w:rPr>
      </w:pPr>
    </w:p>
    <w:p w:rsidR="000A4BA2" w:rsidRDefault="000A4BA2" w:rsidP="004C3958">
      <w:pPr>
        <w:rPr>
          <w:bCs/>
        </w:rPr>
      </w:pPr>
      <w:r>
        <w:rPr>
          <w:bCs/>
        </w:rPr>
        <w:t xml:space="preserve">30. august 2017: Fælles afrapportering fra </w:t>
      </w:r>
      <w:proofErr w:type="spellStart"/>
      <w:r>
        <w:rPr>
          <w:bCs/>
        </w:rPr>
        <w:t>Niras</w:t>
      </w:r>
      <w:proofErr w:type="spellEnd"/>
      <w:r>
        <w:rPr>
          <w:bCs/>
        </w:rPr>
        <w:t xml:space="preserve"> og DMR, hvor det vurderes, at der er tilført Lillebælt ca. 2.800 tons kvælstof </w:t>
      </w:r>
      <w:proofErr w:type="spellStart"/>
      <w:r>
        <w:rPr>
          <w:bCs/>
        </w:rPr>
        <w:t>i.f.m</w:t>
      </w:r>
      <w:proofErr w:type="spellEnd"/>
      <w:r>
        <w:rPr>
          <w:bCs/>
        </w:rPr>
        <w:t xml:space="preserve"> ulykken den 3. februar 2017.</w:t>
      </w:r>
    </w:p>
    <w:p w:rsidR="00866329" w:rsidRDefault="00866329" w:rsidP="004C3958">
      <w:pPr>
        <w:rPr>
          <w:bCs/>
        </w:rPr>
      </w:pPr>
    </w:p>
    <w:p w:rsidR="00CE2726" w:rsidRDefault="00866329">
      <w:pPr>
        <w:rPr>
          <w:bCs/>
        </w:rPr>
      </w:pPr>
      <w:r>
        <w:rPr>
          <w:bCs/>
        </w:rPr>
        <w:t>31. august 2017: Udsættelse af partshøringsfristen til 29. september 2017.</w:t>
      </w:r>
      <w:bookmarkStart w:id="1" w:name="vedr"/>
      <w:bookmarkStart w:id="2" w:name="start"/>
      <w:bookmarkStart w:id="3" w:name="signatur"/>
      <w:bookmarkEnd w:id="1"/>
      <w:bookmarkEnd w:id="2"/>
      <w:bookmarkEnd w:id="3"/>
    </w:p>
    <w:p w:rsidR="009A1D3D" w:rsidRDefault="009A1D3D">
      <w:pPr>
        <w:rPr>
          <w:bCs/>
        </w:rPr>
      </w:pPr>
    </w:p>
    <w:p w:rsidR="009A1D3D" w:rsidRDefault="009A1D3D">
      <w:pPr>
        <w:rPr>
          <w:bCs/>
        </w:rPr>
      </w:pPr>
    </w:p>
    <w:p w:rsidR="009A1D3D" w:rsidRDefault="009A1D3D">
      <w:pPr>
        <w:rPr>
          <w:bCs/>
        </w:rPr>
      </w:pPr>
      <w:r>
        <w:rPr>
          <w:bCs/>
        </w:rPr>
        <w:t>Alle ovenstående dokumenter kan finde på Fredericia Kommunes hjemmeside.</w:t>
      </w:r>
    </w:p>
    <w:p w:rsidR="006211E1" w:rsidRDefault="006211E1">
      <w:pPr>
        <w:rPr>
          <w:bCs/>
        </w:rPr>
      </w:pPr>
    </w:p>
    <w:p w:rsidR="006211E1" w:rsidRDefault="006211E1">
      <w:pPr>
        <w:rPr>
          <w:bCs/>
        </w:rPr>
      </w:pPr>
    </w:p>
    <w:p w:rsidR="006211E1" w:rsidRDefault="008203E2">
      <w:pPr>
        <w:rPr>
          <w:bCs/>
        </w:rPr>
      </w:pPr>
      <w:r>
        <w:rPr>
          <w:bCs/>
        </w:rPr>
        <w:t>Fredericia Kommune den 7</w:t>
      </w:r>
      <w:r w:rsidR="006211E1">
        <w:rPr>
          <w:bCs/>
        </w:rPr>
        <w:t xml:space="preserve">. september 2017. </w:t>
      </w:r>
    </w:p>
    <w:p w:rsidR="006211E1" w:rsidRDefault="006211E1">
      <w:r>
        <w:rPr>
          <w:bCs/>
        </w:rPr>
        <w:t>Henrik Melchior Olsen</w:t>
      </w:r>
    </w:p>
    <w:sectPr w:rsidR="006211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0EA"/>
    <w:multiLevelType w:val="hybridMultilevel"/>
    <w:tmpl w:val="E890A13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18AF"/>
    <w:multiLevelType w:val="hybridMultilevel"/>
    <w:tmpl w:val="CB76FB18"/>
    <w:lvl w:ilvl="0" w:tplc="C792A5A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A1DEC"/>
    <w:multiLevelType w:val="hybridMultilevel"/>
    <w:tmpl w:val="42A2A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002"/>
    <w:multiLevelType w:val="hybridMultilevel"/>
    <w:tmpl w:val="A4329E7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B710D"/>
    <w:multiLevelType w:val="hybridMultilevel"/>
    <w:tmpl w:val="85767C66"/>
    <w:lvl w:ilvl="0" w:tplc="FB7C7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6699"/>
    <w:multiLevelType w:val="hybridMultilevel"/>
    <w:tmpl w:val="ABD6BE22"/>
    <w:lvl w:ilvl="0" w:tplc="FB50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023A2"/>
    <w:multiLevelType w:val="hybridMultilevel"/>
    <w:tmpl w:val="913073C6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8E4"/>
    <w:multiLevelType w:val="hybridMultilevel"/>
    <w:tmpl w:val="C7F69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58"/>
    <w:rsid w:val="000850B4"/>
    <w:rsid w:val="000A0CE3"/>
    <w:rsid w:val="000A4BA2"/>
    <w:rsid w:val="00270692"/>
    <w:rsid w:val="004C3958"/>
    <w:rsid w:val="0057084A"/>
    <w:rsid w:val="006211E1"/>
    <w:rsid w:val="007430EF"/>
    <w:rsid w:val="007437F5"/>
    <w:rsid w:val="007E11D8"/>
    <w:rsid w:val="008203E2"/>
    <w:rsid w:val="00866329"/>
    <w:rsid w:val="00957360"/>
    <w:rsid w:val="009A1D3D"/>
    <w:rsid w:val="00AF40E9"/>
    <w:rsid w:val="00B547DC"/>
    <w:rsid w:val="00B92C33"/>
    <w:rsid w:val="00CE2726"/>
    <w:rsid w:val="00D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C09D-2F41-4EA8-B515-85345A4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3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39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Overskrift">
    <w:name w:val="TOC Heading"/>
    <w:basedOn w:val="Normal"/>
    <w:qFormat/>
    <w:rsid w:val="004C3958"/>
    <w:rPr>
      <w:caps/>
    </w:rPr>
  </w:style>
  <w:style w:type="paragraph" w:customStyle="1" w:styleId="Brevtekst">
    <w:name w:val="Brevtekst"/>
    <w:basedOn w:val="Normal"/>
    <w:rsid w:val="004C3958"/>
    <w:pPr>
      <w:tabs>
        <w:tab w:val="right" w:pos="5387"/>
        <w:tab w:val="decimal" w:pos="6577"/>
        <w:tab w:val="right" w:pos="7371"/>
        <w:tab w:val="decimal" w:pos="8675"/>
      </w:tabs>
    </w:pPr>
  </w:style>
  <w:style w:type="paragraph" w:styleId="Listeafsnit">
    <w:name w:val="List Paragraph"/>
    <w:basedOn w:val="Normal"/>
    <w:uiPriority w:val="34"/>
    <w:qFormat/>
    <w:rsid w:val="004C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Melchior Olsen</dc:creator>
  <cp:keywords/>
  <dc:description/>
  <cp:lastModifiedBy>Henrik Melchior Olsen</cp:lastModifiedBy>
  <cp:revision>14</cp:revision>
  <dcterms:created xsi:type="dcterms:W3CDTF">2017-09-04T13:02:00Z</dcterms:created>
  <dcterms:modified xsi:type="dcterms:W3CDTF">2017-09-07T06:33:00Z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{619E330F-6F7B-43D9-B0D8-4A0A36B7CFBD}</vt:lpwstr>
  </property>
</Properties>
</file>