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74C" w:rsidRDefault="0007574C" w:rsidP="0007574C"/>
    <w:p w:rsidR="0002011A" w:rsidRPr="00D916B5" w:rsidRDefault="0002011A" w:rsidP="00D916B5">
      <w:pPr>
        <w:pStyle w:val="Overskrift1"/>
        <w:ind w:right="-739"/>
        <w:rPr>
          <w:b/>
        </w:rPr>
      </w:pPr>
      <w:r w:rsidRPr="00D916B5">
        <w:rPr>
          <w:b/>
        </w:rPr>
        <w:t xml:space="preserve">Revisionsberetninger til årsregnskab </w:t>
      </w:r>
      <w:r w:rsidR="004C63E8">
        <w:rPr>
          <w:b/>
        </w:rPr>
        <w:t>2013</w:t>
      </w:r>
      <w:r w:rsidRPr="00D916B5">
        <w:rPr>
          <w:b/>
        </w:rPr>
        <w:t>, revisionens bemærkninger med besvarelser</w:t>
      </w:r>
    </w:p>
    <w:p w:rsidR="0002011A" w:rsidRDefault="0002011A" w:rsidP="00F83BDD"/>
    <w:p w:rsidR="008B5B4C" w:rsidRPr="008B5B4C" w:rsidRDefault="008B5B4C" w:rsidP="008B5B4C"/>
    <w:tbl>
      <w:tblPr>
        <w:tblW w:w="1414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8897"/>
        <w:gridCol w:w="5245"/>
      </w:tblGrid>
      <w:tr w:rsidR="00C44FA8" w:rsidTr="005A7957">
        <w:trPr>
          <w:tblHeader/>
        </w:trPr>
        <w:tc>
          <w:tcPr>
            <w:tcW w:w="8897" w:type="dxa"/>
            <w:shd w:val="solid" w:color="000080" w:fill="FFFFFF"/>
          </w:tcPr>
          <w:p w:rsidR="008B5B4C" w:rsidRPr="00C44FA8" w:rsidRDefault="008B5B4C" w:rsidP="001C4283">
            <w:pPr>
              <w:rPr>
                <w:b/>
                <w:bCs/>
                <w:color w:val="FFFFFF"/>
              </w:rPr>
            </w:pPr>
            <w:r w:rsidRPr="00C44FA8">
              <w:rPr>
                <w:b/>
                <w:bCs/>
                <w:color w:val="FFFFFF"/>
              </w:rPr>
              <w:t>Revisionens bemærkning</w:t>
            </w:r>
          </w:p>
        </w:tc>
        <w:tc>
          <w:tcPr>
            <w:tcW w:w="5245" w:type="dxa"/>
            <w:shd w:val="solid" w:color="000080" w:fill="FFFFFF"/>
          </w:tcPr>
          <w:p w:rsidR="008B5B4C" w:rsidRPr="00C44FA8" w:rsidRDefault="008B5B4C" w:rsidP="001C4283">
            <w:pPr>
              <w:rPr>
                <w:b/>
                <w:bCs/>
                <w:color w:val="FFFFFF"/>
              </w:rPr>
            </w:pPr>
            <w:r w:rsidRPr="00C44FA8">
              <w:rPr>
                <w:b/>
                <w:bCs/>
                <w:color w:val="FFFFFF"/>
              </w:rPr>
              <w:t>Kommunens besvarelse</w:t>
            </w:r>
          </w:p>
        </w:tc>
      </w:tr>
      <w:tr w:rsidR="00C44FA8" w:rsidTr="005A7957">
        <w:tc>
          <w:tcPr>
            <w:tcW w:w="8897" w:type="dxa"/>
            <w:shd w:val="clear" w:color="auto" w:fill="auto"/>
          </w:tcPr>
          <w:p w:rsidR="008B5B4C" w:rsidRDefault="004C63E8" w:rsidP="001C4283">
            <w:pPr>
              <w:rPr>
                <w:b/>
              </w:rPr>
            </w:pPr>
            <w:r>
              <w:rPr>
                <w:b/>
              </w:rPr>
              <w:t>3</w:t>
            </w:r>
            <w:r w:rsidR="0045722E">
              <w:rPr>
                <w:b/>
              </w:rPr>
              <w:t>. Revisionsbemærkninger til årsregnskabet</w:t>
            </w:r>
          </w:p>
          <w:p w:rsidR="0045722E" w:rsidRPr="00C44FA8" w:rsidRDefault="0045722E" w:rsidP="001C4283">
            <w:pPr>
              <w:rPr>
                <w:b/>
              </w:rPr>
            </w:pPr>
          </w:p>
        </w:tc>
        <w:tc>
          <w:tcPr>
            <w:tcW w:w="5245" w:type="dxa"/>
            <w:shd w:val="clear" w:color="auto" w:fill="auto"/>
          </w:tcPr>
          <w:p w:rsidR="008B5B4C" w:rsidRDefault="008B5B4C" w:rsidP="001C4283"/>
        </w:tc>
      </w:tr>
      <w:tr w:rsidR="006C50A9" w:rsidRPr="006C50A9" w:rsidTr="005A7957">
        <w:tc>
          <w:tcPr>
            <w:tcW w:w="8897" w:type="dxa"/>
            <w:shd w:val="clear" w:color="auto" w:fill="auto"/>
          </w:tcPr>
          <w:p w:rsidR="007E5A85" w:rsidRDefault="004C63E8" w:rsidP="001C4283">
            <w:r>
              <w:rPr>
                <w:b/>
              </w:rPr>
              <w:t>3</w:t>
            </w:r>
            <w:r w:rsidR="007E5A85">
              <w:rPr>
                <w:b/>
              </w:rPr>
              <w:t>.1 Generelle bemærkninger</w:t>
            </w:r>
          </w:p>
          <w:p w:rsidR="00101BF4" w:rsidRDefault="004C63E8" w:rsidP="007E5A85">
            <w:pPr>
              <w:keepNext/>
            </w:pPr>
            <w:r>
              <w:t>Revisionen har ikke givet anledning til generelle bemærkninger.</w:t>
            </w:r>
          </w:p>
          <w:p w:rsidR="007E5A85" w:rsidRPr="006C50A9" w:rsidRDefault="007E5A85" w:rsidP="004C63E8">
            <w:pPr>
              <w:keepNext/>
            </w:pPr>
          </w:p>
        </w:tc>
        <w:tc>
          <w:tcPr>
            <w:tcW w:w="5245" w:type="dxa"/>
            <w:shd w:val="clear" w:color="auto" w:fill="auto"/>
          </w:tcPr>
          <w:p w:rsidR="006C50A9" w:rsidRPr="006C50A9" w:rsidRDefault="006C50A9" w:rsidP="001C4283"/>
        </w:tc>
      </w:tr>
      <w:tr w:rsidR="0045722E" w:rsidRPr="0045722E" w:rsidTr="005A7957">
        <w:tc>
          <w:tcPr>
            <w:tcW w:w="8897" w:type="dxa"/>
            <w:shd w:val="clear" w:color="auto" w:fill="auto"/>
          </w:tcPr>
          <w:p w:rsidR="0045722E" w:rsidRDefault="004C63E8" w:rsidP="001C4283">
            <w:pPr>
              <w:rPr>
                <w:b/>
              </w:rPr>
            </w:pPr>
            <w:r>
              <w:rPr>
                <w:b/>
              </w:rPr>
              <w:t>3</w:t>
            </w:r>
            <w:r w:rsidR="0045722E" w:rsidRPr="0045722E">
              <w:rPr>
                <w:b/>
              </w:rPr>
              <w:t xml:space="preserve">.2 </w:t>
            </w:r>
            <w:r w:rsidR="007E5A85">
              <w:rPr>
                <w:b/>
              </w:rPr>
              <w:t>Område</w:t>
            </w:r>
            <w:r w:rsidR="0045722E" w:rsidRPr="0045722E">
              <w:rPr>
                <w:b/>
              </w:rPr>
              <w:t>specifikke bemærkninger</w:t>
            </w:r>
            <w:r w:rsidR="009E4A75">
              <w:rPr>
                <w:b/>
              </w:rPr>
              <w:t>, årsregnskabet generelt</w:t>
            </w:r>
          </w:p>
          <w:p w:rsidR="007E5A85" w:rsidRDefault="007E5A85" w:rsidP="001C4283">
            <w:r w:rsidRPr="007E5A85">
              <w:t xml:space="preserve">(Bemærkninger der fremgår af Revisionsberetning for </w:t>
            </w:r>
            <w:r w:rsidR="008754A8">
              <w:t>2013</w:t>
            </w:r>
            <w:r w:rsidRPr="007E5A85">
              <w:t xml:space="preserve"> vedrørende årsregnskabet)</w:t>
            </w:r>
          </w:p>
          <w:p w:rsidR="00101BF4" w:rsidRPr="007E5A85" w:rsidRDefault="00101BF4" w:rsidP="001C4283"/>
        </w:tc>
        <w:tc>
          <w:tcPr>
            <w:tcW w:w="5245" w:type="dxa"/>
            <w:shd w:val="clear" w:color="auto" w:fill="auto"/>
          </w:tcPr>
          <w:p w:rsidR="0045722E" w:rsidRPr="0045722E" w:rsidRDefault="0045722E" w:rsidP="001C4283">
            <w:pPr>
              <w:rPr>
                <w:b/>
              </w:rPr>
            </w:pPr>
          </w:p>
        </w:tc>
      </w:tr>
      <w:tr w:rsidR="0045722E" w:rsidRPr="0045722E" w:rsidTr="005A7957">
        <w:tc>
          <w:tcPr>
            <w:tcW w:w="8897" w:type="dxa"/>
            <w:shd w:val="clear" w:color="auto" w:fill="auto"/>
          </w:tcPr>
          <w:p w:rsidR="0045722E" w:rsidRPr="0045722E" w:rsidRDefault="004C63E8" w:rsidP="001C4283">
            <w:pPr>
              <w:rPr>
                <w:b/>
              </w:rPr>
            </w:pPr>
            <w:r>
              <w:rPr>
                <w:b/>
              </w:rPr>
              <w:t>3</w:t>
            </w:r>
            <w:r w:rsidR="0045722E" w:rsidRPr="0045722E">
              <w:rPr>
                <w:b/>
              </w:rPr>
              <w:t xml:space="preserve">.2.1 Opfølgning på tidligere års revisionsbemærkninger – revisionsbemærkning nr. </w:t>
            </w:r>
            <w:r>
              <w:rPr>
                <w:b/>
              </w:rPr>
              <w:t>1</w:t>
            </w:r>
          </w:p>
        </w:tc>
        <w:tc>
          <w:tcPr>
            <w:tcW w:w="5245" w:type="dxa"/>
            <w:shd w:val="clear" w:color="auto" w:fill="auto"/>
          </w:tcPr>
          <w:p w:rsidR="0045722E" w:rsidRPr="0045722E" w:rsidRDefault="0045722E" w:rsidP="001C4283">
            <w:pPr>
              <w:rPr>
                <w:b/>
              </w:rPr>
            </w:pPr>
          </w:p>
        </w:tc>
      </w:tr>
      <w:tr w:rsidR="0045722E" w:rsidRPr="006C50A9" w:rsidTr="005A7957">
        <w:tc>
          <w:tcPr>
            <w:tcW w:w="8897" w:type="dxa"/>
            <w:shd w:val="clear" w:color="auto" w:fill="auto"/>
          </w:tcPr>
          <w:p w:rsidR="0045722E" w:rsidRDefault="0045722E" w:rsidP="002870D5">
            <w:pPr>
              <w:tabs>
                <w:tab w:val="right" w:pos="5387"/>
                <w:tab w:val="right" w:pos="6237"/>
              </w:tabs>
              <w:rPr>
                <w:b/>
                <w:i/>
              </w:rPr>
            </w:pPr>
            <w:r w:rsidRPr="008D5759">
              <w:rPr>
                <w:b/>
                <w:i/>
              </w:rPr>
              <w:t>Balancen</w:t>
            </w:r>
          </w:p>
          <w:p w:rsidR="00260E2A" w:rsidRDefault="00C661E1" w:rsidP="002870D5">
            <w:pPr>
              <w:tabs>
                <w:tab w:val="right" w:pos="5387"/>
                <w:tab w:val="right" w:pos="6237"/>
              </w:tabs>
            </w:pPr>
            <w:r>
              <w:t>I forlængelse af tidligere års revisionsbemærkninger omkring fejl og mangler i balancens regnskabsposter har vi konstateret, at mange af tidligere års ”problemkonti” er sagsbehandlet og/eller afskrevet.</w:t>
            </w:r>
          </w:p>
          <w:p w:rsidR="00C661E1" w:rsidRDefault="00C661E1" w:rsidP="002870D5">
            <w:pPr>
              <w:tabs>
                <w:tab w:val="right" w:pos="5387"/>
                <w:tab w:val="right" w:pos="6237"/>
              </w:tabs>
            </w:pPr>
          </w:p>
          <w:p w:rsidR="00C661E1" w:rsidRPr="00BE7DAB" w:rsidRDefault="00C661E1" w:rsidP="002870D5">
            <w:pPr>
              <w:tabs>
                <w:tab w:val="right" w:pos="5387"/>
                <w:tab w:val="right" w:pos="6237"/>
              </w:tabs>
            </w:pPr>
            <w:r>
              <w:t>Men ved den stikprøvevise gennemgang for 2013 har vi konstateret flere statuskonti, som:</w:t>
            </w:r>
          </w:p>
          <w:p w:rsidR="00260E2A" w:rsidRPr="00D24EAE" w:rsidRDefault="00260E2A" w:rsidP="002870D5">
            <w:pPr>
              <w:pStyle w:val="Listeafsnit"/>
              <w:numPr>
                <w:ilvl w:val="0"/>
                <w:numId w:val="4"/>
              </w:numPr>
              <w:tabs>
                <w:tab w:val="right" w:pos="5387"/>
                <w:tab w:val="right" w:pos="6237"/>
              </w:tabs>
              <w:spacing w:line="240" w:lineRule="auto"/>
              <w:ind w:left="567" w:hanging="567"/>
              <w:rPr>
                <w:sz w:val="24"/>
                <w:szCs w:val="24"/>
              </w:rPr>
            </w:pPr>
            <w:r w:rsidRPr="00D24EAE">
              <w:rPr>
                <w:sz w:val="24"/>
                <w:szCs w:val="24"/>
              </w:rPr>
              <w:t xml:space="preserve">ikke foreligger dokumenteret afstemt </w:t>
            </w:r>
          </w:p>
          <w:p w:rsidR="00260E2A" w:rsidRPr="00D24EAE" w:rsidRDefault="00260E2A" w:rsidP="002870D5">
            <w:pPr>
              <w:pStyle w:val="Listeafsnit"/>
              <w:numPr>
                <w:ilvl w:val="0"/>
                <w:numId w:val="4"/>
              </w:numPr>
              <w:tabs>
                <w:tab w:val="right" w:pos="5387"/>
                <w:tab w:val="right" w:pos="6237"/>
              </w:tabs>
              <w:spacing w:line="240" w:lineRule="auto"/>
              <w:ind w:left="567" w:hanging="567"/>
              <w:rPr>
                <w:sz w:val="24"/>
                <w:szCs w:val="24"/>
              </w:rPr>
            </w:pPr>
            <w:r w:rsidRPr="00D24EAE">
              <w:rPr>
                <w:sz w:val="24"/>
                <w:szCs w:val="24"/>
              </w:rPr>
              <w:t xml:space="preserve">ikke er værdiansat korrekt </w:t>
            </w:r>
          </w:p>
          <w:p w:rsidR="00260E2A" w:rsidRPr="00D24EAE" w:rsidRDefault="00260E2A" w:rsidP="002870D5">
            <w:pPr>
              <w:pStyle w:val="Listeafsnit"/>
              <w:numPr>
                <w:ilvl w:val="0"/>
                <w:numId w:val="4"/>
              </w:numPr>
              <w:tabs>
                <w:tab w:val="right" w:pos="5387"/>
                <w:tab w:val="right" w:pos="6237"/>
              </w:tabs>
              <w:spacing w:line="240" w:lineRule="auto"/>
              <w:ind w:left="567" w:hanging="567"/>
              <w:rPr>
                <w:sz w:val="24"/>
                <w:szCs w:val="24"/>
              </w:rPr>
            </w:pPr>
            <w:r w:rsidRPr="00D24EAE">
              <w:rPr>
                <w:sz w:val="24"/>
                <w:szCs w:val="24"/>
              </w:rPr>
              <w:t>ikke er tilstrækkeligt sagsbehandlet, f.eks. hvor der henstår uafklarede differencer og manglende afklaring af åbenstående poster, hvoraf nogle er flere år gamle</w:t>
            </w:r>
          </w:p>
          <w:p w:rsidR="00260E2A" w:rsidRPr="00BE7DAB" w:rsidRDefault="00260E2A" w:rsidP="002870D5">
            <w:pPr>
              <w:tabs>
                <w:tab w:val="right" w:pos="5387"/>
                <w:tab w:val="right" w:pos="6237"/>
              </w:tabs>
            </w:pPr>
          </w:p>
          <w:p w:rsidR="00260E2A" w:rsidRPr="00BE7DAB" w:rsidRDefault="00C661E1" w:rsidP="002870D5">
            <w:pPr>
              <w:tabs>
                <w:tab w:val="right" w:pos="5387"/>
                <w:tab w:val="right" w:pos="6237"/>
              </w:tabs>
            </w:pPr>
            <w:r>
              <w:t xml:space="preserve">Nogle af de afstemningsmæssige udfordringer kan tilskrives overgangen til nyt økonomisystem, specielt på debitorområdet. De konstaterede fejl </w:t>
            </w:r>
            <w:r w:rsidR="008754A8">
              <w:t>og</w:t>
            </w:r>
            <w:r>
              <w:t xml:space="preserve"> mangler medfører usikkerhed omkring værdiansættelsen i balancen og den eventuelle afledte driftspåvirkning i driften</w:t>
            </w:r>
            <w:r w:rsidR="006A559E">
              <w:t>, ligesom der kan være en risiko for økonomiske tab.</w:t>
            </w:r>
          </w:p>
          <w:p w:rsidR="00260E2A" w:rsidRPr="00BE7DAB" w:rsidRDefault="00260E2A" w:rsidP="002870D5">
            <w:pPr>
              <w:tabs>
                <w:tab w:val="right" w:pos="5387"/>
                <w:tab w:val="right" w:pos="6237"/>
              </w:tabs>
            </w:pPr>
          </w:p>
          <w:p w:rsidR="00260E2A" w:rsidRDefault="00260E2A" w:rsidP="002870D5">
            <w:pPr>
              <w:tabs>
                <w:tab w:val="right" w:pos="5387"/>
                <w:tab w:val="right" w:pos="6237"/>
              </w:tabs>
            </w:pPr>
            <w:r w:rsidRPr="00BE7DAB">
              <w:t xml:space="preserve">Vi skal derfor henstille, at </w:t>
            </w:r>
            <w:r w:rsidR="006A559E">
              <w:t>afdelingernes ledelsestilsyn af statusafstemninger indskærpes og opprioriteres.</w:t>
            </w:r>
          </w:p>
          <w:p w:rsidR="006A559E" w:rsidRDefault="006A559E" w:rsidP="002870D5">
            <w:pPr>
              <w:tabs>
                <w:tab w:val="right" w:pos="5387"/>
                <w:tab w:val="right" w:pos="6237"/>
              </w:tabs>
            </w:pPr>
          </w:p>
          <w:p w:rsidR="002870D5" w:rsidRDefault="006A559E" w:rsidP="005A7957">
            <w:pPr>
              <w:tabs>
                <w:tab w:val="right" w:pos="5387"/>
                <w:tab w:val="right" w:pos="6804"/>
              </w:tabs>
            </w:pPr>
            <w:r>
              <w:t xml:space="preserve">De </w:t>
            </w:r>
            <w:proofErr w:type="spellStart"/>
            <w:r>
              <w:t>væsentliste</w:t>
            </w:r>
            <w:proofErr w:type="spellEnd"/>
            <w:r>
              <w:t xml:space="preserve"> opgjorte fejl påvirker kommunens regnskab (balancen) på følgende måde:</w:t>
            </w:r>
            <w:r w:rsidR="005A7957">
              <w:tab/>
            </w:r>
            <w:r w:rsidR="002870D5">
              <w:t>Egenkapital</w:t>
            </w:r>
            <w:r w:rsidR="002870D5">
              <w:tab/>
              <w:t>Passiver</w:t>
            </w:r>
          </w:p>
          <w:p w:rsidR="006A559E" w:rsidRDefault="006A559E" w:rsidP="005A7957">
            <w:pPr>
              <w:tabs>
                <w:tab w:val="right" w:pos="5387"/>
                <w:tab w:val="right" w:pos="6804"/>
              </w:tabs>
            </w:pPr>
            <w:r>
              <w:t>Årsregnskabet</w:t>
            </w:r>
            <w:r w:rsidR="002870D5">
              <w:t xml:space="preserve"> udviser</w:t>
            </w:r>
            <w:r w:rsidR="002870D5">
              <w:tab/>
              <w:t>3.794,8</w:t>
            </w:r>
            <w:r w:rsidR="002870D5">
              <w:tab/>
              <w:t>1.702,3</w:t>
            </w:r>
          </w:p>
          <w:p w:rsidR="002870D5" w:rsidRDefault="002870D5" w:rsidP="005A7957">
            <w:pPr>
              <w:tabs>
                <w:tab w:val="right" w:pos="5387"/>
                <w:tab w:val="right" w:pos="6804"/>
              </w:tabs>
            </w:pPr>
            <w:r>
              <w:t>Regulering hensatte forpligtelser</w:t>
            </w:r>
            <w:r>
              <w:tab/>
              <w:t>23,7</w:t>
            </w:r>
            <w:r>
              <w:tab/>
              <w:t>-23,7</w:t>
            </w:r>
          </w:p>
          <w:p w:rsidR="002870D5" w:rsidRDefault="002870D5" w:rsidP="005A7957">
            <w:pPr>
              <w:tabs>
                <w:tab w:val="right" w:pos="5387"/>
                <w:tab w:val="right" w:pos="6804"/>
              </w:tabs>
            </w:pPr>
            <w:r>
              <w:t>Regulering af kortfristet gæld</w:t>
            </w:r>
            <w:r>
              <w:tab/>
              <w:t>-17,1</w:t>
            </w:r>
            <w:r>
              <w:tab/>
              <w:t>17,1</w:t>
            </w:r>
          </w:p>
          <w:p w:rsidR="002870D5" w:rsidRPr="00260E2A" w:rsidRDefault="002870D5" w:rsidP="005A7957">
            <w:pPr>
              <w:tabs>
                <w:tab w:val="right" w:pos="5387"/>
                <w:tab w:val="right" w:pos="6804"/>
              </w:tabs>
            </w:pPr>
            <w:r>
              <w:t>Årsregnskabet burde udvise</w:t>
            </w:r>
            <w:r>
              <w:tab/>
              <w:t>3.801,4</w:t>
            </w:r>
            <w:r>
              <w:tab/>
              <w:t>1.695,7</w:t>
            </w:r>
          </w:p>
        </w:tc>
        <w:tc>
          <w:tcPr>
            <w:tcW w:w="5245" w:type="dxa"/>
            <w:shd w:val="clear" w:color="auto" w:fill="auto"/>
          </w:tcPr>
          <w:p w:rsidR="006A4D38" w:rsidRDefault="002870D5" w:rsidP="001C4283">
            <w:r>
              <w:lastRenderedPageBreak/>
              <w:t>Regnskabsåret 2013 har været præget af implementering af n</w:t>
            </w:r>
            <w:r w:rsidR="007A2492">
              <w:t>yt økonomi- og lønsystem Opus. Denne proces har helt naturligt krævet en del ressourcer</w:t>
            </w:r>
            <w:r w:rsidR="006A4D38">
              <w:t>, hvilket i perioder har flyttet fokus fra f.eks. løbende afstemningsopgaver, herunder også den oprydning, som allerede var igangsat i 2012.</w:t>
            </w:r>
          </w:p>
          <w:p w:rsidR="006A4D38" w:rsidRDefault="006A4D38" w:rsidP="001C4283"/>
          <w:p w:rsidR="00AD0977" w:rsidRDefault="00AD0977" w:rsidP="001C4283">
            <w:r>
              <w:t>Der arbejdes fortsat intenst på, at samtlige statuskonti skal være gennemgået og afstemt, et arbejde der forventes gennemført indenfor en kort tidshorisont.</w:t>
            </w:r>
          </w:p>
          <w:p w:rsidR="00AD0977" w:rsidRDefault="00AD0977" w:rsidP="001C4283"/>
          <w:p w:rsidR="004F41BF" w:rsidRDefault="007A2492" w:rsidP="001C4283">
            <w:r>
              <w:t xml:space="preserve">I Opus </w:t>
            </w:r>
            <w:r w:rsidR="008754A8">
              <w:t>indgår som</w:t>
            </w:r>
            <w:r>
              <w:t xml:space="preserve"> </w:t>
            </w:r>
            <w:r w:rsidR="006A4D38">
              <w:t xml:space="preserve">en del af </w:t>
            </w:r>
            <w:r>
              <w:t>funktionalitet</w:t>
            </w:r>
            <w:r w:rsidR="006A4D38">
              <w:t xml:space="preserve">en Ledelsestilsyn en oversigt over hvilke statuskonti de enkelte afdelinger har afstemningsansvaret for og </w:t>
            </w:r>
            <w:r w:rsidR="006A4D38">
              <w:lastRenderedPageBreak/>
              <w:t xml:space="preserve">der bliver i 2014 igangsat en proces, der dels skal </w:t>
            </w:r>
            <w:r w:rsidR="008754A8">
              <w:t xml:space="preserve">afklare hvorvidt opgaven bliver udført, dels skal </w:t>
            </w:r>
            <w:r w:rsidR="006A4D38">
              <w:t xml:space="preserve">vejlede afdelingerne i </w:t>
            </w:r>
            <w:r w:rsidR="008754A8">
              <w:t>den konkrete afstemnings</w:t>
            </w:r>
            <w:r w:rsidR="006A4D38">
              <w:t>opgave</w:t>
            </w:r>
            <w:r w:rsidR="008754A8">
              <w:t>.</w:t>
            </w:r>
          </w:p>
          <w:p w:rsidR="00AD0977" w:rsidRDefault="00AD0977" w:rsidP="001C4283"/>
          <w:p w:rsidR="00AD0977" w:rsidRDefault="00AD0977" w:rsidP="001C4283">
            <w:r>
              <w:t>De væsentligste opgjorte fejl, som revisionen henviser til i deres bemærkning er alene fejl, der påvirker egenkapital</w:t>
            </w:r>
            <w:r w:rsidR="008754A8">
              <w:t>en</w:t>
            </w:r>
            <w:r>
              <w:t xml:space="preserve"> i årsregnskabet. Der er naturligvis tale om fejl, som vil blive rettet i 2014.</w:t>
            </w:r>
          </w:p>
          <w:p w:rsidR="00AD0977" w:rsidRDefault="00AD0977" w:rsidP="001C4283"/>
          <w:p w:rsidR="00AD0977" w:rsidRDefault="00AD0977" w:rsidP="001C4283"/>
          <w:p w:rsidR="007A2492" w:rsidRDefault="007A2492" w:rsidP="001C4283"/>
          <w:p w:rsidR="007A2492" w:rsidRDefault="007A2492" w:rsidP="001C4283"/>
          <w:p w:rsidR="004F41BF" w:rsidRPr="006C50A9" w:rsidRDefault="004F41BF" w:rsidP="001C4283"/>
        </w:tc>
      </w:tr>
      <w:tr w:rsidR="00007608" w:rsidRPr="006C50A9" w:rsidTr="005A7957">
        <w:tc>
          <w:tcPr>
            <w:tcW w:w="8897" w:type="dxa"/>
            <w:shd w:val="clear" w:color="auto" w:fill="auto"/>
          </w:tcPr>
          <w:p w:rsidR="00007608" w:rsidRDefault="006B09EB" w:rsidP="001C4283">
            <w:pPr>
              <w:rPr>
                <w:b/>
              </w:rPr>
            </w:pPr>
            <w:r>
              <w:rPr>
                <w:b/>
              </w:rPr>
              <w:lastRenderedPageBreak/>
              <w:t xml:space="preserve">3. </w:t>
            </w:r>
            <w:r w:rsidR="009E4A75">
              <w:rPr>
                <w:b/>
              </w:rPr>
              <w:t>Område</w:t>
            </w:r>
            <w:r w:rsidR="007E5A85">
              <w:rPr>
                <w:b/>
              </w:rPr>
              <w:t>specifikke bemærkninger</w:t>
            </w:r>
            <w:r w:rsidR="009E4A75">
              <w:rPr>
                <w:b/>
              </w:rPr>
              <w:t>, socialområdet</w:t>
            </w:r>
            <w:r>
              <w:rPr>
                <w:b/>
              </w:rPr>
              <w:t>, revisors overordnede konklusion og bemærkninger</w:t>
            </w:r>
          </w:p>
          <w:p w:rsidR="007E5A85" w:rsidRDefault="007E5A85" w:rsidP="007E5A85">
            <w:r w:rsidRPr="007E5A85">
              <w:t xml:space="preserve">(Bemærkninger der fremgår af Revisionsberetning for </w:t>
            </w:r>
            <w:r w:rsidR="00ED3595">
              <w:t>2013</w:t>
            </w:r>
            <w:r w:rsidRPr="007E5A85">
              <w:t xml:space="preserve"> vedrørende Social</w:t>
            </w:r>
            <w:r w:rsidR="005A7957">
              <w:t>e</w:t>
            </w:r>
            <w:r w:rsidRPr="007E5A85">
              <w:t xml:space="preserve"> og </w:t>
            </w:r>
            <w:proofErr w:type="spellStart"/>
            <w:r w:rsidRPr="007E5A85">
              <w:t>beskæftigelsesrettede</w:t>
            </w:r>
            <w:proofErr w:type="spellEnd"/>
            <w:r w:rsidRPr="007E5A85">
              <w:t xml:space="preserve"> udgifter, de</w:t>
            </w:r>
            <w:r w:rsidR="00ED3595">
              <w:t>r er omfattet af statsrefusion)</w:t>
            </w:r>
          </w:p>
          <w:p w:rsidR="00101BF4" w:rsidRPr="007E5A85" w:rsidRDefault="00101BF4" w:rsidP="007E5A85"/>
        </w:tc>
        <w:tc>
          <w:tcPr>
            <w:tcW w:w="5245" w:type="dxa"/>
            <w:shd w:val="clear" w:color="auto" w:fill="auto"/>
          </w:tcPr>
          <w:p w:rsidR="00007608" w:rsidRDefault="00007608" w:rsidP="001C4283"/>
        </w:tc>
      </w:tr>
      <w:tr w:rsidR="005A7957" w:rsidRPr="006C50A9" w:rsidTr="005A7957">
        <w:tc>
          <w:tcPr>
            <w:tcW w:w="8897" w:type="dxa"/>
            <w:shd w:val="clear" w:color="auto" w:fill="auto"/>
          </w:tcPr>
          <w:p w:rsidR="005A7957" w:rsidRDefault="005A7957" w:rsidP="001C4283">
            <w:pPr>
              <w:rPr>
                <w:b/>
              </w:rPr>
            </w:pPr>
            <w:r>
              <w:rPr>
                <w:b/>
              </w:rPr>
              <w:t>3.1 Mulighed for kontrol med udbetalinger til UDK (Udbetaling Danmark) – revisionsbemærkning nr. 2</w:t>
            </w:r>
          </w:p>
        </w:tc>
        <w:tc>
          <w:tcPr>
            <w:tcW w:w="5245" w:type="dxa"/>
            <w:shd w:val="clear" w:color="auto" w:fill="auto"/>
          </w:tcPr>
          <w:p w:rsidR="005A7957" w:rsidRDefault="005A7957" w:rsidP="009C1C4B"/>
        </w:tc>
      </w:tr>
      <w:tr w:rsidR="007E5A85" w:rsidRPr="006C50A9" w:rsidTr="005A7957">
        <w:tc>
          <w:tcPr>
            <w:tcW w:w="8897" w:type="dxa"/>
            <w:shd w:val="clear" w:color="auto" w:fill="auto"/>
          </w:tcPr>
          <w:p w:rsidR="0017479C" w:rsidRPr="0017479C" w:rsidRDefault="00101BF4" w:rsidP="0017479C">
            <w:pPr>
              <w:rPr>
                <w:b/>
              </w:rPr>
            </w:pPr>
            <w:r>
              <w:rPr>
                <w:b/>
              </w:rPr>
              <w:t>3.</w:t>
            </w:r>
            <w:r w:rsidR="00ED3595">
              <w:rPr>
                <w:b/>
              </w:rPr>
              <w:t>1</w:t>
            </w:r>
            <w:r>
              <w:rPr>
                <w:b/>
              </w:rPr>
              <w:t xml:space="preserve">.1 </w:t>
            </w:r>
            <w:r w:rsidR="00ED3595">
              <w:rPr>
                <w:b/>
              </w:rPr>
              <w:t>Manglende mulighed for kontrol af ydelser, der overføres til Udbetaling Danmark – (Ministeriet for Børn, Ligestilling, Integration og Social Forhold og Beskæftigelsesministeriet)</w:t>
            </w:r>
          </w:p>
          <w:p w:rsidR="0017479C" w:rsidRPr="0017479C" w:rsidRDefault="00ED3595" w:rsidP="0017479C">
            <w:pPr>
              <w:pStyle w:val="Brdtekst"/>
              <w:spacing w:line="240" w:lineRule="auto"/>
              <w:jc w:val="lowKashida"/>
              <w:rPr>
                <w:bCs/>
                <w:strike w:val="0"/>
                <w:color w:val="auto"/>
                <w:sz w:val="24"/>
                <w:szCs w:val="24"/>
              </w:rPr>
            </w:pPr>
            <w:r>
              <w:rPr>
                <w:bCs/>
                <w:strike w:val="0"/>
                <w:color w:val="auto"/>
                <w:sz w:val="24"/>
                <w:szCs w:val="24"/>
              </w:rPr>
              <w:t>Det er konstateret, at kommunen ikke har mulighed for at udføre kontrol af betalinger til UDK. Det er ikke muligt for kommunen at kontrollere, hvorvidt den medfinansiering Fredericia Kommune bliver opkrævet, vedrører borgere, som Fredericia Kommune har betalingsforpligtelsen for. Den liste kommunen har adgang til – via KMF – giver kun</w:t>
            </w:r>
            <w:r w:rsidR="00A71F53">
              <w:rPr>
                <w:bCs/>
                <w:strike w:val="0"/>
                <w:color w:val="auto"/>
                <w:sz w:val="24"/>
                <w:szCs w:val="24"/>
              </w:rPr>
              <w:t xml:space="preserve"> adgang til udsøgning af enkeltstående borgere, som allerede er kendte af kommunen. Det er ikke muligt for kommunen at trække en samlet liste (registrantliste) til brug for kontrol af betalingsforpligtelse.</w:t>
            </w:r>
          </w:p>
          <w:p w:rsidR="0017479C" w:rsidRDefault="0017479C" w:rsidP="0017479C">
            <w:pPr>
              <w:pStyle w:val="Brdtekst"/>
              <w:spacing w:line="240" w:lineRule="auto"/>
              <w:jc w:val="lowKashida"/>
              <w:rPr>
                <w:bCs/>
                <w:strike w:val="0"/>
                <w:color w:val="auto"/>
                <w:sz w:val="24"/>
                <w:szCs w:val="24"/>
              </w:rPr>
            </w:pPr>
          </w:p>
          <w:p w:rsidR="00A71F53" w:rsidRPr="005A7957" w:rsidRDefault="00A71F53" w:rsidP="0017479C">
            <w:pPr>
              <w:pStyle w:val="Brdtekst"/>
              <w:spacing w:line="240" w:lineRule="auto"/>
              <w:jc w:val="lowKashida"/>
              <w:rPr>
                <w:b/>
                <w:bCs/>
                <w:strike w:val="0"/>
                <w:color w:val="auto"/>
                <w:sz w:val="24"/>
                <w:szCs w:val="24"/>
              </w:rPr>
            </w:pPr>
            <w:r w:rsidRPr="005A7957">
              <w:rPr>
                <w:b/>
                <w:bCs/>
                <w:strike w:val="0"/>
                <w:color w:val="auto"/>
                <w:sz w:val="24"/>
                <w:szCs w:val="24"/>
              </w:rPr>
              <w:t>Manglende mulighed for afdækning af misbrug af ydelser</w:t>
            </w:r>
          </w:p>
          <w:p w:rsidR="0017479C" w:rsidRPr="0017479C" w:rsidRDefault="00A71F53" w:rsidP="0017479C">
            <w:pPr>
              <w:pStyle w:val="Brdtekst"/>
              <w:spacing w:line="240" w:lineRule="auto"/>
              <w:jc w:val="lowKashida"/>
              <w:rPr>
                <w:bCs/>
                <w:strike w:val="0"/>
                <w:color w:val="auto"/>
                <w:sz w:val="24"/>
                <w:szCs w:val="24"/>
              </w:rPr>
            </w:pPr>
            <w:proofErr w:type="gramStart"/>
            <w:r>
              <w:rPr>
                <w:bCs/>
                <w:strike w:val="0"/>
                <w:color w:val="auto"/>
                <w:sz w:val="24"/>
                <w:szCs w:val="24"/>
              </w:rPr>
              <w:t>Herudover  er</w:t>
            </w:r>
            <w:proofErr w:type="gramEnd"/>
            <w:r>
              <w:rPr>
                <w:bCs/>
                <w:strike w:val="0"/>
                <w:color w:val="auto"/>
                <w:sz w:val="24"/>
                <w:szCs w:val="24"/>
              </w:rPr>
              <w:t xml:space="preserve"> det konstateret, at kommunen ikke har mulighed for at sikre, at der ikke sker misbrug af udbetaling af førtidspension, idet det ikke er muligt at danne en liste over tilgange i sager omfattet af medfinansieringen (i de tilfælde hvor en medarbejder i henholdsvis UDK/kommunen opretter en borger, uden at der ligger en reel tilkendegivelse til grund), hvorfor kommunens ledelsestilsyn ikke nødvendigvis omfatter alle tilkendegivelser af førtidspension.</w:t>
            </w:r>
          </w:p>
          <w:p w:rsidR="0017479C" w:rsidRPr="0017479C" w:rsidRDefault="0017479C" w:rsidP="0017479C">
            <w:pPr>
              <w:pStyle w:val="Brdtekst"/>
              <w:spacing w:line="240" w:lineRule="auto"/>
              <w:jc w:val="lowKashida"/>
              <w:rPr>
                <w:bCs/>
                <w:strike w:val="0"/>
                <w:color w:val="auto"/>
                <w:sz w:val="24"/>
                <w:szCs w:val="24"/>
              </w:rPr>
            </w:pPr>
          </w:p>
          <w:p w:rsidR="0017479C" w:rsidRDefault="00A71F53" w:rsidP="00C80958">
            <w:pPr>
              <w:pStyle w:val="Brdtekst"/>
              <w:spacing w:line="240" w:lineRule="auto"/>
              <w:jc w:val="lowKashida"/>
              <w:rPr>
                <w:bCs/>
                <w:strike w:val="0"/>
                <w:color w:val="auto"/>
                <w:sz w:val="24"/>
                <w:szCs w:val="24"/>
              </w:rPr>
            </w:pPr>
            <w:r>
              <w:rPr>
                <w:bCs/>
                <w:strike w:val="0"/>
                <w:color w:val="auto"/>
                <w:sz w:val="24"/>
                <w:szCs w:val="24"/>
              </w:rPr>
              <w:t>Forholdet gør sig ikke gældende på boligstøtteområdet, idet kommunen her modtager en registrantliste.</w:t>
            </w:r>
          </w:p>
          <w:p w:rsidR="00A71F53" w:rsidRDefault="00A71F53" w:rsidP="00C80958">
            <w:pPr>
              <w:pStyle w:val="Brdtekst"/>
              <w:spacing w:line="240" w:lineRule="auto"/>
              <w:jc w:val="lowKashida"/>
              <w:rPr>
                <w:bCs/>
                <w:strike w:val="0"/>
                <w:color w:val="auto"/>
                <w:sz w:val="24"/>
                <w:szCs w:val="24"/>
              </w:rPr>
            </w:pPr>
          </w:p>
          <w:p w:rsidR="00A71F53" w:rsidRDefault="00A71F53" w:rsidP="00C80958">
            <w:pPr>
              <w:pStyle w:val="Brdtekst"/>
              <w:spacing w:line="240" w:lineRule="auto"/>
              <w:jc w:val="lowKashida"/>
              <w:rPr>
                <w:bCs/>
                <w:strike w:val="0"/>
                <w:color w:val="auto"/>
                <w:sz w:val="24"/>
                <w:szCs w:val="24"/>
              </w:rPr>
            </w:pPr>
            <w:r>
              <w:rPr>
                <w:bCs/>
                <w:strike w:val="0"/>
                <w:color w:val="auto"/>
                <w:sz w:val="24"/>
                <w:szCs w:val="24"/>
              </w:rPr>
              <w:t>Ministeriet har oplyst, at regelsættet bliver revideret med henblik på, at kommunerne fremover får mulighed for at foretage d</w:t>
            </w:r>
            <w:r w:rsidR="005A7957">
              <w:rPr>
                <w:bCs/>
                <w:strike w:val="0"/>
                <w:color w:val="auto"/>
                <w:sz w:val="24"/>
                <w:szCs w:val="24"/>
              </w:rPr>
              <w:t>e</w:t>
            </w:r>
            <w:r>
              <w:rPr>
                <w:bCs/>
                <w:strike w:val="0"/>
                <w:color w:val="auto"/>
                <w:sz w:val="24"/>
                <w:szCs w:val="24"/>
              </w:rPr>
              <w:t>nne kontrol.</w:t>
            </w:r>
          </w:p>
          <w:p w:rsidR="00A71F53" w:rsidRDefault="00A71F53" w:rsidP="00C80958">
            <w:pPr>
              <w:pStyle w:val="Brdtekst"/>
              <w:spacing w:line="240" w:lineRule="auto"/>
              <w:jc w:val="lowKashida"/>
              <w:rPr>
                <w:bCs/>
                <w:strike w:val="0"/>
                <w:color w:val="auto"/>
                <w:sz w:val="24"/>
                <w:szCs w:val="24"/>
              </w:rPr>
            </w:pPr>
          </w:p>
          <w:p w:rsidR="00A71F53" w:rsidRPr="00C80958" w:rsidRDefault="00A71F53" w:rsidP="00C80958">
            <w:pPr>
              <w:pStyle w:val="Brdtekst"/>
              <w:spacing w:line="240" w:lineRule="auto"/>
              <w:jc w:val="lowKashida"/>
              <w:rPr>
                <w:bCs/>
                <w:strike w:val="0"/>
              </w:rPr>
            </w:pPr>
            <w:r>
              <w:rPr>
                <w:bCs/>
                <w:strike w:val="0"/>
                <w:color w:val="auto"/>
                <w:sz w:val="24"/>
                <w:szCs w:val="24"/>
              </w:rPr>
              <w:t>Supplerende kan oplyses, at ovenstående er gældende for samtlige kommuner i Danmark.</w:t>
            </w:r>
          </w:p>
          <w:p w:rsidR="00E97CF4" w:rsidRDefault="00E97CF4" w:rsidP="0017479C">
            <w:pPr>
              <w:rPr>
                <w:b/>
              </w:rPr>
            </w:pPr>
          </w:p>
        </w:tc>
        <w:tc>
          <w:tcPr>
            <w:tcW w:w="5245" w:type="dxa"/>
            <w:shd w:val="clear" w:color="auto" w:fill="auto"/>
          </w:tcPr>
          <w:p w:rsidR="004763E9" w:rsidRDefault="00E97CF4" w:rsidP="009C1C4B">
            <w:r>
              <w:t>Det er korrekt som beskrevet i revisionens bemærkning nr. 2 at overførsel af en række udbetalingsopgaver til UDK</w:t>
            </w:r>
            <w:r w:rsidR="009C1C4B">
              <w:t xml:space="preserve"> har betydet, at kommunerne mister muligheden for forskellige kontroller, der hidtil har været udført i kommunen.</w:t>
            </w:r>
          </w:p>
          <w:p w:rsidR="009C1C4B" w:rsidRDefault="009C1C4B" w:rsidP="009C1C4B"/>
          <w:p w:rsidR="009C1C4B" w:rsidRDefault="009C1C4B" w:rsidP="009C1C4B">
            <w:r>
              <w:t>Jævnfør næstsidste afsnit i bemærkningen vil ministeriet tage initiativ til at få rettet op på dette forhold. Fredericia Kommune afventer ministeriets udspil og vurderer herefter hvorvidt der vil være behov for at foretage sig yderligere.</w:t>
            </w:r>
          </w:p>
        </w:tc>
      </w:tr>
      <w:tr w:rsidR="00E97CF4" w:rsidRPr="006C50A9" w:rsidTr="005A7957">
        <w:tc>
          <w:tcPr>
            <w:tcW w:w="8897" w:type="dxa"/>
            <w:shd w:val="clear" w:color="auto" w:fill="auto"/>
          </w:tcPr>
          <w:p w:rsidR="00E97CF4" w:rsidRPr="005E24A8" w:rsidRDefault="00E97CF4" w:rsidP="00E97CF4">
            <w:pPr>
              <w:pStyle w:val="Overskrift3"/>
              <w:rPr>
                <w:rFonts w:ascii="Times New Roman" w:eastAsiaTheme="majorEastAsia" w:hAnsi="Times New Roman"/>
                <w:sz w:val="24"/>
                <w:szCs w:val="24"/>
              </w:rPr>
            </w:pPr>
            <w:r w:rsidRPr="005E24A8">
              <w:rPr>
                <w:rFonts w:ascii="Times New Roman" w:eastAsiaTheme="majorEastAsia" w:hAnsi="Times New Roman"/>
                <w:sz w:val="24"/>
                <w:szCs w:val="24"/>
              </w:rPr>
              <w:t xml:space="preserve">3.2 </w:t>
            </w:r>
            <w:r>
              <w:rPr>
                <w:rFonts w:ascii="Times New Roman" w:eastAsiaTheme="majorEastAsia" w:hAnsi="Times New Roman"/>
                <w:sz w:val="24"/>
                <w:szCs w:val="24"/>
              </w:rPr>
              <w:t>Refusionsopgørelse Særlig Dyre Enkeltsager – revisionsbemærkning nr. 3</w:t>
            </w:r>
          </w:p>
          <w:p w:rsidR="00E97CF4" w:rsidRPr="00F37FB3" w:rsidRDefault="00E97CF4" w:rsidP="00E97CF4">
            <w:r>
              <w:t>Refusionsopgørelsen, so</w:t>
            </w:r>
            <w:r w:rsidR="006B09EB">
              <w:t>m vi modtog fra forvaltningen, v</w:t>
            </w:r>
            <w:r>
              <w:t>ar efter vores opfattelse ikke kvalitetssikret i tilstrækkeligt omfang.</w:t>
            </w:r>
          </w:p>
          <w:p w:rsidR="00E97CF4" w:rsidRPr="00F37FB3" w:rsidRDefault="00E97CF4" w:rsidP="00E97CF4"/>
          <w:p w:rsidR="00E97CF4" w:rsidRDefault="00E97CF4" w:rsidP="00E97CF4">
            <w:r>
              <w:t>Vi har i forbindelse med vores gennemgang konstateret, at de refusionsberettigede udgifter pr. måned i december måned 2013 var ca. 5 mio. mindre end de øvrige måneder, hvoraf refusionen udgør ca. 0,5 til 1 mio. kr. Forholdet skyldes mangelfuld periodisering af udgifterne og vil ifølge det oplyste blive korrigeret i refusionsopgørelsen for 2014.</w:t>
            </w:r>
          </w:p>
          <w:p w:rsidR="00E97CF4" w:rsidRDefault="00E97CF4" w:rsidP="00E97CF4"/>
          <w:p w:rsidR="00E97CF4" w:rsidRDefault="00E97CF4" w:rsidP="00E97CF4">
            <w:pPr>
              <w:rPr>
                <w:b/>
              </w:rPr>
            </w:pPr>
            <w:r>
              <w:t>Forholdet er drøftet med forvaltningen, der har oplyst, at der iværksættes procedure til kvalitetssikring af refusionsopgørelsen fremadrettet.</w:t>
            </w:r>
          </w:p>
        </w:tc>
        <w:tc>
          <w:tcPr>
            <w:tcW w:w="5245" w:type="dxa"/>
            <w:shd w:val="clear" w:color="auto" w:fill="auto"/>
          </w:tcPr>
          <w:p w:rsidR="00E97CF4" w:rsidRDefault="009C1C4B" w:rsidP="001C4283">
            <w:r>
              <w:t>Opgørelse af refusion i henhold til lov om særl</w:t>
            </w:r>
            <w:r w:rsidR="006B09EB">
              <w:t>i</w:t>
            </w:r>
            <w:r>
              <w:t xml:space="preserve">gt dyre enkeltsager er en kompliceret </w:t>
            </w:r>
            <w:r w:rsidR="006B09EB">
              <w:t>opgave</w:t>
            </w:r>
            <w:r>
              <w:t>. Fredericia Kommune har i 2012/2013 igangsat en proces, der skærper fokus på denne opgave, herunder kvalitetssikring af selve refusionsopgørelsen.</w:t>
            </w:r>
          </w:p>
          <w:p w:rsidR="009C1C4B" w:rsidRDefault="009C1C4B" w:rsidP="001C4283"/>
          <w:p w:rsidR="006B09EB" w:rsidRDefault="009C1C4B" w:rsidP="009C1C4B">
            <w:r>
              <w:t xml:space="preserve">Der arbejdes også på at forenkle arbejdet med at samle data til refusionsopgørelsen. En af </w:t>
            </w:r>
            <w:proofErr w:type="spellStart"/>
            <w:r>
              <w:t>hidtige</w:t>
            </w:r>
            <w:proofErr w:type="spellEnd"/>
            <w:r>
              <w:t xml:space="preserve"> udfordringer har været, at en del af </w:t>
            </w:r>
            <w:r w:rsidR="006B09EB">
              <w:t>opgaven</w:t>
            </w:r>
            <w:r>
              <w:t xml:space="preserve"> har meget stramme tidsfrister, hvor </w:t>
            </w:r>
            <w:r w:rsidR="006B09EB">
              <w:t>store mængder</w:t>
            </w:r>
            <w:r>
              <w:t xml:space="preserve"> data skal gennemgås, vurderes og kvalitetssikres på kort tid. </w:t>
            </w:r>
            <w:r w:rsidR="006B09EB">
              <w:t>Dette er en medvirkende årsag til, at netop december måneds data kan afvige fra øvrige måneder.</w:t>
            </w:r>
          </w:p>
          <w:p w:rsidR="006B09EB" w:rsidRDefault="006B09EB" w:rsidP="009C1C4B"/>
          <w:p w:rsidR="009C1C4B" w:rsidRDefault="009C1C4B" w:rsidP="006B09EB">
            <w:r>
              <w:t xml:space="preserve">Det vurderes derfor hvorvidt det vil være muligt at igangsætte dele af </w:t>
            </w:r>
            <w:r w:rsidR="006B09EB">
              <w:t>opgaven</w:t>
            </w:r>
            <w:r w:rsidR="00496ABA">
              <w:t xml:space="preserve"> på et tidligere tidspunkt end hidtil.</w:t>
            </w:r>
          </w:p>
        </w:tc>
      </w:tr>
    </w:tbl>
    <w:p w:rsidR="008B5B4C" w:rsidRPr="008B5B4C" w:rsidRDefault="008B5B4C" w:rsidP="008B5B4C"/>
    <w:p w:rsidR="008B5B4C" w:rsidRDefault="008B5B4C" w:rsidP="00D916B5">
      <w:pPr>
        <w:pStyle w:val="Overskrift1"/>
      </w:pPr>
    </w:p>
    <w:p w:rsidR="008B5B4C" w:rsidRDefault="008B5B4C" w:rsidP="00D916B5">
      <w:pPr>
        <w:pStyle w:val="Overskrift1"/>
      </w:pPr>
    </w:p>
    <w:p w:rsidR="00D916B5" w:rsidRPr="00D916B5" w:rsidRDefault="00D916B5"/>
    <w:sectPr w:rsidR="00D916B5" w:rsidRPr="00D916B5" w:rsidSect="00141175">
      <w:headerReference w:type="default" r:id="rId10"/>
      <w:footerReference w:type="default" r:id="rId11"/>
      <w:pgSz w:w="16838" w:h="11906" w:orient="landscape"/>
      <w:pgMar w:top="1985"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957" w:rsidRDefault="005A7957">
      <w:r>
        <w:separator/>
      </w:r>
    </w:p>
  </w:endnote>
  <w:endnote w:type="continuationSeparator" w:id="0">
    <w:p w:rsidR="005A7957" w:rsidRDefault="005A79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957" w:rsidRDefault="005A7957">
    <w:pPr>
      <w:pStyle w:val="Sidefod"/>
      <w:jc w:val="right"/>
    </w:pPr>
    <w:fldSimple w:instr=" PAGE   \* MERGEFORMAT ">
      <w:r w:rsidR="006B09EB">
        <w:rPr>
          <w:noProof/>
        </w:rPr>
        <w:t>4</w:t>
      </w:r>
    </w:fldSimple>
  </w:p>
  <w:p w:rsidR="005A7957" w:rsidRDefault="005A7957">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957" w:rsidRDefault="005A7957">
      <w:r>
        <w:separator/>
      </w:r>
    </w:p>
  </w:footnote>
  <w:footnote w:type="continuationSeparator" w:id="0">
    <w:p w:rsidR="005A7957" w:rsidRDefault="005A7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957" w:rsidRDefault="005A7957">
    <w:pPr>
      <w:pStyle w:val="Sidehoved"/>
    </w:pPr>
    <w:r>
      <w:rPr>
        <w:noProof/>
      </w:rPr>
      <w:pict>
        <v:group id="_x0000_s2049" style="position:absolute;margin-left:-54pt;margin-top:-22.85pt;width:854.9pt;height:63.5pt;z-index:251659264" coordorigin="54,81" coordsize="17098,1270">
          <v:shapetype id="_x0000_t202" coordsize="21600,21600" o:spt="202" path="m,l,21600r21600,l21600,xe">
            <v:stroke joinstyle="miter"/>
            <v:path gradientshapeok="t" o:connecttype="rect"/>
          </v:shapetype>
          <v:shape id="_x0000_s2050" type="#_x0000_t202" style="position:absolute;left:54;top:81;width:17098;height:1270;mso-position-vertical-relative:page" filled="f" stroked="f">
            <v:textbox style="mso-next-textbox:#_x0000_s2050">
              <w:txbxContent>
                <w:p w:rsidR="005A7957" w:rsidRDefault="005A7957" w:rsidP="00BA4E5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9.25pt;height:54.75pt">
                        <v:imagedata r:id="rId1" o:title="fa_logo1"/>
                      </v:shape>
                    </w:pict>
                  </w:r>
                </w:p>
              </w:txbxContent>
            </v:textbox>
          </v:shape>
          <v:shape id="_x0000_s2051" type="#_x0000_t202" style="position:absolute;left:1616;top:801;width:2688;height:371;mso-position-vertical-relative:page" filled="f" stroked="f">
            <v:textbox style="mso-next-textbox:#_x0000_s2051" inset="2.5mm,0,1.5mm">
              <w:txbxContent>
                <w:p w:rsidR="005A7957" w:rsidRDefault="005A7957" w:rsidP="00BA4E57">
                  <w:pPr>
                    <w:rPr>
                      <w:rFonts w:ascii="Verdana" w:hAnsi="Verdana"/>
                    </w:rPr>
                  </w:pPr>
                  <w:r>
                    <w:rPr>
                      <w:rFonts w:ascii="Verdana" w:hAnsi="Verdana"/>
                    </w:rPr>
                    <w:t>Økonomi</w:t>
                  </w:r>
                </w:p>
              </w:txbxContent>
            </v:textbox>
          </v:shape>
          <v:shape id="_x0000_s2052" type="#_x0000_t202" style="position:absolute;left:9234;top:312;width:2313;height:454;mso-position-vertical-relative:page" filled="f" stroked="f">
            <v:textbox style="mso-next-textbox:#_x0000_s2052" inset=",2.3mm">
              <w:txbxContent>
                <w:p w:rsidR="005A7957" w:rsidRDefault="005A7957" w:rsidP="00BA4E57">
                  <w:pPr>
                    <w:tabs>
                      <w:tab w:val="right" w:pos="1920"/>
                    </w:tabs>
                    <w:rPr>
                      <w:rFonts w:ascii="Verdana" w:hAnsi="Verdana"/>
                      <w:sz w:val="16"/>
                    </w:rPr>
                  </w:pPr>
                  <w:r>
                    <w:rPr>
                      <w:rFonts w:ascii="Verdana" w:hAnsi="Verdana"/>
                      <w:sz w:val="16"/>
                    </w:rPr>
                    <w:tab/>
                    <w:t>26. august 2014</w:t>
                  </w:r>
                </w:p>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57D94"/>
    <w:multiLevelType w:val="hybridMultilevel"/>
    <w:tmpl w:val="C29A2450"/>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nsid w:val="187A4859"/>
    <w:multiLevelType w:val="hybridMultilevel"/>
    <w:tmpl w:val="865A90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53A0A7B"/>
    <w:multiLevelType w:val="hybridMultilevel"/>
    <w:tmpl w:val="8018AA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98B0D6D"/>
    <w:multiLevelType w:val="hybridMultilevel"/>
    <w:tmpl w:val="A748E398"/>
    <w:lvl w:ilvl="0" w:tplc="04060001">
      <w:start w:val="1"/>
      <w:numFmt w:val="bullet"/>
      <w:lvlText w:val=""/>
      <w:lvlJc w:val="left"/>
      <w:pPr>
        <w:ind w:left="78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
    <w:nsid w:val="64763FB7"/>
    <w:multiLevelType w:val="hybridMultilevel"/>
    <w:tmpl w:val="412207DC"/>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5">
    <w:nsid w:val="66830B5B"/>
    <w:multiLevelType w:val="hybridMultilevel"/>
    <w:tmpl w:val="86A0193E"/>
    <w:lvl w:ilvl="0" w:tplc="04060001">
      <w:start w:val="1"/>
      <w:numFmt w:val="bullet"/>
      <w:lvlText w:val=""/>
      <w:lvlJc w:val="left"/>
      <w:pPr>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nsid w:val="7DDA617E"/>
    <w:multiLevelType w:val="hybridMultilevel"/>
    <w:tmpl w:val="C34E07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attachedTemplate r:id="rId1"/>
  <w:stylePaneFormatFilter w:val="3F01"/>
  <w:doNotTrackMoves/>
  <w:defaultTabStop w:val="1304"/>
  <w:hyphenationZone w:val="425"/>
  <w:drawingGridHorizontalSpacing w:val="120"/>
  <w:displayHorizontalDrawingGridEvery w:val="2"/>
  <w:noPunctuationKerning/>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490F"/>
    <w:rsid w:val="00007608"/>
    <w:rsid w:val="00015482"/>
    <w:rsid w:val="0002011A"/>
    <w:rsid w:val="00045204"/>
    <w:rsid w:val="00054D7F"/>
    <w:rsid w:val="00057CD0"/>
    <w:rsid w:val="00067C4C"/>
    <w:rsid w:val="0007574C"/>
    <w:rsid w:val="000A0946"/>
    <w:rsid w:val="000C6801"/>
    <w:rsid w:val="000E4684"/>
    <w:rsid w:val="00101BF4"/>
    <w:rsid w:val="0013255F"/>
    <w:rsid w:val="0014045C"/>
    <w:rsid w:val="00141175"/>
    <w:rsid w:val="00151D85"/>
    <w:rsid w:val="00167E8F"/>
    <w:rsid w:val="0017479C"/>
    <w:rsid w:val="001A4E49"/>
    <w:rsid w:val="001B08F2"/>
    <w:rsid w:val="001B1EB2"/>
    <w:rsid w:val="001C22FE"/>
    <w:rsid w:val="001C4283"/>
    <w:rsid w:val="001E7202"/>
    <w:rsid w:val="001E77B1"/>
    <w:rsid w:val="001F4CD8"/>
    <w:rsid w:val="0021208E"/>
    <w:rsid w:val="00260E2A"/>
    <w:rsid w:val="0026285C"/>
    <w:rsid w:val="00264C26"/>
    <w:rsid w:val="002870D5"/>
    <w:rsid w:val="002936F1"/>
    <w:rsid w:val="002D1278"/>
    <w:rsid w:val="002F2CD2"/>
    <w:rsid w:val="002F7ECC"/>
    <w:rsid w:val="0030444B"/>
    <w:rsid w:val="00310583"/>
    <w:rsid w:val="0034101C"/>
    <w:rsid w:val="0035214E"/>
    <w:rsid w:val="00356414"/>
    <w:rsid w:val="003941CA"/>
    <w:rsid w:val="003B4625"/>
    <w:rsid w:val="003D7BF8"/>
    <w:rsid w:val="003E490F"/>
    <w:rsid w:val="004070AC"/>
    <w:rsid w:val="00424A5B"/>
    <w:rsid w:val="00434A17"/>
    <w:rsid w:val="004418E4"/>
    <w:rsid w:val="0045722E"/>
    <w:rsid w:val="00464036"/>
    <w:rsid w:val="004763E9"/>
    <w:rsid w:val="00481A6F"/>
    <w:rsid w:val="00496ABA"/>
    <w:rsid w:val="004B16C7"/>
    <w:rsid w:val="004C63E8"/>
    <w:rsid w:val="004E5D42"/>
    <w:rsid w:val="004F41BF"/>
    <w:rsid w:val="00566D2D"/>
    <w:rsid w:val="00575FB4"/>
    <w:rsid w:val="00581FE2"/>
    <w:rsid w:val="005A7957"/>
    <w:rsid w:val="005E24A8"/>
    <w:rsid w:val="00602797"/>
    <w:rsid w:val="0061002F"/>
    <w:rsid w:val="00614004"/>
    <w:rsid w:val="00642D09"/>
    <w:rsid w:val="006566F1"/>
    <w:rsid w:val="006811DD"/>
    <w:rsid w:val="006A4D38"/>
    <w:rsid w:val="006A559E"/>
    <w:rsid w:val="006B09EB"/>
    <w:rsid w:val="006C50A9"/>
    <w:rsid w:val="006D4172"/>
    <w:rsid w:val="006E741E"/>
    <w:rsid w:val="006F692B"/>
    <w:rsid w:val="00713073"/>
    <w:rsid w:val="00716885"/>
    <w:rsid w:val="007319E9"/>
    <w:rsid w:val="00737140"/>
    <w:rsid w:val="007434F7"/>
    <w:rsid w:val="007717F6"/>
    <w:rsid w:val="0077397B"/>
    <w:rsid w:val="007A2492"/>
    <w:rsid w:val="007D24E5"/>
    <w:rsid w:val="007E512C"/>
    <w:rsid w:val="007E5A85"/>
    <w:rsid w:val="00804204"/>
    <w:rsid w:val="00835DAA"/>
    <w:rsid w:val="00863E57"/>
    <w:rsid w:val="008754A8"/>
    <w:rsid w:val="00882BD3"/>
    <w:rsid w:val="00887CD8"/>
    <w:rsid w:val="008A448C"/>
    <w:rsid w:val="008B5B4C"/>
    <w:rsid w:val="008D448C"/>
    <w:rsid w:val="008D5759"/>
    <w:rsid w:val="008D6FA4"/>
    <w:rsid w:val="008E4368"/>
    <w:rsid w:val="00910A0B"/>
    <w:rsid w:val="00942C7F"/>
    <w:rsid w:val="009C1C4B"/>
    <w:rsid w:val="009E4A75"/>
    <w:rsid w:val="009F18E4"/>
    <w:rsid w:val="00A109D6"/>
    <w:rsid w:val="00A35F9A"/>
    <w:rsid w:val="00A5161C"/>
    <w:rsid w:val="00A61C7A"/>
    <w:rsid w:val="00A71F53"/>
    <w:rsid w:val="00AA2983"/>
    <w:rsid w:val="00AA41F4"/>
    <w:rsid w:val="00AA5062"/>
    <w:rsid w:val="00AC07D6"/>
    <w:rsid w:val="00AD0977"/>
    <w:rsid w:val="00AE454D"/>
    <w:rsid w:val="00B305B8"/>
    <w:rsid w:val="00B7188B"/>
    <w:rsid w:val="00B71B3D"/>
    <w:rsid w:val="00B929F0"/>
    <w:rsid w:val="00BA4E57"/>
    <w:rsid w:val="00BD04B6"/>
    <w:rsid w:val="00C05E31"/>
    <w:rsid w:val="00C16CAC"/>
    <w:rsid w:val="00C27E90"/>
    <w:rsid w:val="00C34ABA"/>
    <w:rsid w:val="00C44FA8"/>
    <w:rsid w:val="00C53832"/>
    <w:rsid w:val="00C661E1"/>
    <w:rsid w:val="00C718BA"/>
    <w:rsid w:val="00C80958"/>
    <w:rsid w:val="00CB0766"/>
    <w:rsid w:val="00CE7C18"/>
    <w:rsid w:val="00D24EAE"/>
    <w:rsid w:val="00D50A93"/>
    <w:rsid w:val="00D665B2"/>
    <w:rsid w:val="00D916B5"/>
    <w:rsid w:val="00DA4152"/>
    <w:rsid w:val="00DD45E7"/>
    <w:rsid w:val="00DE1AC4"/>
    <w:rsid w:val="00DE5A49"/>
    <w:rsid w:val="00DF212E"/>
    <w:rsid w:val="00E37C4D"/>
    <w:rsid w:val="00E51CA7"/>
    <w:rsid w:val="00E861C1"/>
    <w:rsid w:val="00E941DA"/>
    <w:rsid w:val="00E97CF4"/>
    <w:rsid w:val="00EA5E02"/>
    <w:rsid w:val="00EB2080"/>
    <w:rsid w:val="00EB5E8A"/>
    <w:rsid w:val="00EC4933"/>
    <w:rsid w:val="00ED3595"/>
    <w:rsid w:val="00EE589E"/>
    <w:rsid w:val="00EF58A3"/>
    <w:rsid w:val="00EF770B"/>
    <w:rsid w:val="00F031A0"/>
    <w:rsid w:val="00F337F0"/>
    <w:rsid w:val="00F512C6"/>
    <w:rsid w:val="00F516A2"/>
    <w:rsid w:val="00F83BDD"/>
    <w:rsid w:val="00F85E21"/>
    <w:rsid w:val="00FE15A7"/>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90F"/>
    <w:rPr>
      <w:sz w:val="24"/>
      <w:szCs w:val="24"/>
    </w:rPr>
  </w:style>
  <w:style w:type="paragraph" w:styleId="Overskrift1">
    <w:name w:val="heading 1"/>
    <w:basedOn w:val="Normal"/>
    <w:next w:val="Normal"/>
    <w:qFormat/>
    <w:rsid w:val="003E490F"/>
    <w:pPr>
      <w:keepNext/>
      <w:outlineLvl w:val="0"/>
    </w:pPr>
    <w:rPr>
      <w:rFonts w:ascii="Verdana" w:hAnsi="Verdana"/>
      <w:sz w:val="28"/>
    </w:rPr>
  </w:style>
  <w:style w:type="paragraph" w:styleId="Overskrift3">
    <w:name w:val="heading 3"/>
    <w:basedOn w:val="Normal"/>
    <w:next w:val="Normal"/>
    <w:link w:val="Overskrift3Tegn"/>
    <w:semiHidden/>
    <w:unhideWhenUsed/>
    <w:qFormat/>
    <w:rsid w:val="0017479C"/>
    <w:pPr>
      <w:keepNext/>
      <w:spacing w:before="240" w:after="60"/>
      <w:outlineLvl w:val="2"/>
    </w:pPr>
    <w:rPr>
      <w:rFonts w:ascii="Cambria" w:hAnsi="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A4E57"/>
    <w:pPr>
      <w:tabs>
        <w:tab w:val="center" w:pos="4819"/>
        <w:tab w:val="right" w:pos="9638"/>
      </w:tabs>
    </w:pPr>
  </w:style>
  <w:style w:type="paragraph" w:styleId="Sidefod">
    <w:name w:val="footer"/>
    <w:basedOn w:val="Normal"/>
    <w:link w:val="SidefodTegn"/>
    <w:uiPriority w:val="99"/>
    <w:rsid w:val="00BA4E57"/>
    <w:pPr>
      <w:tabs>
        <w:tab w:val="center" w:pos="4819"/>
        <w:tab w:val="right" w:pos="9638"/>
      </w:tabs>
    </w:pPr>
  </w:style>
  <w:style w:type="table" w:styleId="Tabel-Gitter">
    <w:name w:val="Table Grid"/>
    <w:basedOn w:val="Tabel-Normal"/>
    <w:rsid w:val="000201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Gitter8">
    <w:name w:val="Table Grid 8"/>
    <w:basedOn w:val="Tabel-Normal"/>
    <w:rsid w:val="0007574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eafsnit">
    <w:name w:val="List Paragraph"/>
    <w:basedOn w:val="Normal"/>
    <w:uiPriority w:val="34"/>
    <w:qFormat/>
    <w:rsid w:val="00A61C7A"/>
    <w:pPr>
      <w:tabs>
        <w:tab w:val="left" w:pos="0"/>
        <w:tab w:val="left" w:pos="567"/>
        <w:tab w:val="decimal" w:pos="8902"/>
      </w:tabs>
      <w:spacing w:line="340" w:lineRule="atLeast"/>
      <w:ind w:left="720"/>
      <w:contextualSpacing/>
      <w:jc w:val="both"/>
    </w:pPr>
    <w:rPr>
      <w:sz w:val="22"/>
      <w:szCs w:val="20"/>
      <w:lang w:eastAsia="en-US"/>
    </w:rPr>
  </w:style>
  <w:style w:type="character" w:customStyle="1" w:styleId="Overskrift3Tegn">
    <w:name w:val="Overskrift 3 Tegn"/>
    <w:basedOn w:val="Standardskrifttypeiafsnit"/>
    <w:link w:val="Overskrift3"/>
    <w:semiHidden/>
    <w:rsid w:val="0017479C"/>
    <w:rPr>
      <w:rFonts w:ascii="Cambria" w:eastAsia="Times New Roman" w:hAnsi="Cambria" w:cs="Times New Roman"/>
      <w:b/>
      <w:bCs/>
      <w:sz w:val="26"/>
      <w:szCs w:val="26"/>
    </w:rPr>
  </w:style>
  <w:style w:type="paragraph" w:styleId="Brdtekst">
    <w:name w:val="Body Text"/>
    <w:basedOn w:val="Normal"/>
    <w:link w:val="BrdtekstTegn"/>
    <w:rsid w:val="0017479C"/>
    <w:pPr>
      <w:tabs>
        <w:tab w:val="left" w:pos="0"/>
        <w:tab w:val="left" w:pos="567"/>
        <w:tab w:val="decimal" w:pos="8902"/>
      </w:tabs>
      <w:spacing w:line="340" w:lineRule="atLeast"/>
      <w:jc w:val="both"/>
    </w:pPr>
    <w:rPr>
      <w:strike/>
      <w:color w:val="FF0000"/>
      <w:sz w:val="22"/>
      <w:szCs w:val="20"/>
      <w:lang w:eastAsia="en-US"/>
    </w:rPr>
  </w:style>
  <w:style w:type="character" w:customStyle="1" w:styleId="BrdtekstTegn">
    <w:name w:val="Brødtekst Tegn"/>
    <w:basedOn w:val="Standardskrifttypeiafsnit"/>
    <w:link w:val="Brdtekst"/>
    <w:rsid w:val="0017479C"/>
    <w:rPr>
      <w:strike/>
      <w:color w:val="FF0000"/>
      <w:sz w:val="22"/>
      <w:lang w:eastAsia="en-US"/>
    </w:rPr>
  </w:style>
  <w:style w:type="paragraph" w:styleId="Markeringsbobletekst">
    <w:name w:val="Balloon Text"/>
    <w:basedOn w:val="Normal"/>
    <w:link w:val="MarkeringsbobletekstTegn"/>
    <w:rsid w:val="00C53832"/>
    <w:rPr>
      <w:rFonts w:ascii="Tahoma" w:hAnsi="Tahoma" w:cs="Tahoma"/>
      <w:sz w:val="16"/>
      <w:szCs w:val="16"/>
    </w:rPr>
  </w:style>
  <w:style w:type="character" w:customStyle="1" w:styleId="MarkeringsbobletekstTegn">
    <w:name w:val="Markeringsbobletekst Tegn"/>
    <w:basedOn w:val="Standardskrifttypeiafsnit"/>
    <w:link w:val="Markeringsbobletekst"/>
    <w:rsid w:val="00C53832"/>
    <w:rPr>
      <w:rFonts w:ascii="Tahoma" w:hAnsi="Tahoma" w:cs="Tahoma"/>
      <w:sz w:val="16"/>
      <w:szCs w:val="16"/>
    </w:rPr>
  </w:style>
  <w:style w:type="character" w:customStyle="1" w:styleId="SidefodTegn">
    <w:name w:val="Sidefod Tegn"/>
    <w:basedOn w:val="Standardskrifttypeiafsnit"/>
    <w:link w:val="Sidefod"/>
    <w:uiPriority w:val="99"/>
    <w:rsid w:val="005E24A8"/>
    <w:rPr>
      <w:sz w:val="24"/>
      <w:szCs w:val="24"/>
    </w:rPr>
  </w:style>
</w:styles>
</file>

<file path=word/webSettings.xml><?xml version="1.0" encoding="utf-8"?>
<w:webSettings xmlns:r="http://schemas.openxmlformats.org/officeDocument/2006/relationships" xmlns:w="http://schemas.openxmlformats.org/wordprocessingml/2006/main">
  <w:divs>
    <w:div w:id="49114161">
      <w:bodyDiv w:val="1"/>
      <w:marLeft w:val="0"/>
      <w:marRight w:val="0"/>
      <w:marTop w:val="0"/>
      <w:marBottom w:val="0"/>
      <w:divBdr>
        <w:top w:val="none" w:sz="0" w:space="0" w:color="auto"/>
        <w:left w:val="none" w:sz="0" w:space="0" w:color="auto"/>
        <w:bottom w:val="none" w:sz="0" w:space="0" w:color="auto"/>
        <w:right w:val="none" w:sz="0" w:space="0" w:color="auto"/>
      </w:divBdr>
    </w:div>
    <w:div w:id="215242895">
      <w:bodyDiv w:val="1"/>
      <w:marLeft w:val="0"/>
      <w:marRight w:val="0"/>
      <w:marTop w:val="0"/>
      <w:marBottom w:val="0"/>
      <w:divBdr>
        <w:top w:val="none" w:sz="0" w:space="0" w:color="auto"/>
        <w:left w:val="none" w:sz="0" w:space="0" w:color="auto"/>
        <w:bottom w:val="none" w:sz="0" w:space="0" w:color="auto"/>
        <w:right w:val="none" w:sz="0" w:space="0" w:color="auto"/>
      </w:divBdr>
    </w:div>
    <w:div w:id="306394438">
      <w:bodyDiv w:val="1"/>
      <w:marLeft w:val="0"/>
      <w:marRight w:val="0"/>
      <w:marTop w:val="0"/>
      <w:marBottom w:val="0"/>
      <w:divBdr>
        <w:top w:val="none" w:sz="0" w:space="0" w:color="auto"/>
        <w:left w:val="none" w:sz="0" w:space="0" w:color="auto"/>
        <w:bottom w:val="none" w:sz="0" w:space="0" w:color="auto"/>
        <w:right w:val="none" w:sz="0" w:space="0" w:color="auto"/>
      </w:divBdr>
    </w:div>
    <w:div w:id="395200934">
      <w:bodyDiv w:val="1"/>
      <w:marLeft w:val="0"/>
      <w:marRight w:val="0"/>
      <w:marTop w:val="0"/>
      <w:marBottom w:val="0"/>
      <w:divBdr>
        <w:top w:val="none" w:sz="0" w:space="0" w:color="auto"/>
        <w:left w:val="none" w:sz="0" w:space="0" w:color="auto"/>
        <w:bottom w:val="none" w:sz="0" w:space="0" w:color="auto"/>
        <w:right w:val="none" w:sz="0" w:space="0" w:color="auto"/>
      </w:divBdr>
    </w:div>
    <w:div w:id="730350901">
      <w:bodyDiv w:val="1"/>
      <w:marLeft w:val="0"/>
      <w:marRight w:val="0"/>
      <w:marTop w:val="0"/>
      <w:marBottom w:val="0"/>
      <w:divBdr>
        <w:top w:val="none" w:sz="0" w:space="0" w:color="auto"/>
        <w:left w:val="none" w:sz="0" w:space="0" w:color="auto"/>
        <w:bottom w:val="none" w:sz="0" w:space="0" w:color="auto"/>
        <w:right w:val="none" w:sz="0" w:space="0" w:color="auto"/>
      </w:divBdr>
    </w:div>
    <w:div w:id="782578916">
      <w:bodyDiv w:val="1"/>
      <w:marLeft w:val="0"/>
      <w:marRight w:val="0"/>
      <w:marTop w:val="0"/>
      <w:marBottom w:val="0"/>
      <w:divBdr>
        <w:top w:val="none" w:sz="0" w:space="0" w:color="auto"/>
        <w:left w:val="none" w:sz="0" w:space="0" w:color="auto"/>
        <w:bottom w:val="none" w:sz="0" w:space="0" w:color="auto"/>
        <w:right w:val="none" w:sz="0" w:space="0" w:color="auto"/>
      </w:divBdr>
    </w:div>
    <w:div w:id="879821926">
      <w:bodyDiv w:val="1"/>
      <w:marLeft w:val="0"/>
      <w:marRight w:val="0"/>
      <w:marTop w:val="0"/>
      <w:marBottom w:val="0"/>
      <w:divBdr>
        <w:top w:val="none" w:sz="0" w:space="0" w:color="auto"/>
        <w:left w:val="none" w:sz="0" w:space="0" w:color="auto"/>
        <w:bottom w:val="none" w:sz="0" w:space="0" w:color="auto"/>
        <w:right w:val="none" w:sz="0" w:space="0" w:color="auto"/>
      </w:divBdr>
    </w:div>
    <w:div w:id="898591666">
      <w:bodyDiv w:val="1"/>
      <w:marLeft w:val="0"/>
      <w:marRight w:val="0"/>
      <w:marTop w:val="0"/>
      <w:marBottom w:val="0"/>
      <w:divBdr>
        <w:top w:val="none" w:sz="0" w:space="0" w:color="auto"/>
        <w:left w:val="none" w:sz="0" w:space="0" w:color="auto"/>
        <w:bottom w:val="none" w:sz="0" w:space="0" w:color="auto"/>
        <w:right w:val="none" w:sz="0" w:space="0" w:color="auto"/>
      </w:divBdr>
    </w:div>
    <w:div w:id="924151449">
      <w:bodyDiv w:val="1"/>
      <w:marLeft w:val="0"/>
      <w:marRight w:val="0"/>
      <w:marTop w:val="0"/>
      <w:marBottom w:val="0"/>
      <w:divBdr>
        <w:top w:val="none" w:sz="0" w:space="0" w:color="auto"/>
        <w:left w:val="none" w:sz="0" w:space="0" w:color="auto"/>
        <w:bottom w:val="none" w:sz="0" w:space="0" w:color="auto"/>
        <w:right w:val="none" w:sz="0" w:space="0" w:color="auto"/>
      </w:divBdr>
    </w:div>
    <w:div w:id="1067147704">
      <w:bodyDiv w:val="1"/>
      <w:marLeft w:val="0"/>
      <w:marRight w:val="0"/>
      <w:marTop w:val="0"/>
      <w:marBottom w:val="0"/>
      <w:divBdr>
        <w:top w:val="none" w:sz="0" w:space="0" w:color="auto"/>
        <w:left w:val="none" w:sz="0" w:space="0" w:color="auto"/>
        <w:bottom w:val="none" w:sz="0" w:space="0" w:color="auto"/>
        <w:right w:val="none" w:sz="0" w:space="0" w:color="auto"/>
      </w:divBdr>
    </w:div>
    <w:div w:id="1086078726">
      <w:bodyDiv w:val="1"/>
      <w:marLeft w:val="0"/>
      <w:marRight w:val="0"/>
      <w:marTop w:val="0"/>
      <w:marBottom w:val="0"/>
      <w:divBdr>
        <w:top w:val="none" w:sz="0" w:space="0" w:color="auto"/>
        <w:left w:val="none" w:sz="0" w:space="0" w:color="auto"/>
        <w:bottom w:val="none" w:sz="0" w:space="0" w:color="auto"/>
        <w:right w:val="none" w:sz="0" w:space="0" w:color="auto"/>
      </w:divBdr>
    </w:div>
    <w:div w:id="1202596681">
      <w:bodyDiv w:val="1"/>
      <w:marLeft w:val="0"/>
      <w:marRight w:val="0"/>
      <w:marTop w:val="0"/>
      <w:marBottom w:val="0"/>
      <w:divBdr>
        <w:top w:val="none" w:sz="0" w:space="0" w:color="auto"/>
        <w:left w:val="none" w:sz="0" w:space="0" w:color="auto"/>
        <w:bottom w:val="none" w:sz="0" w:space="0" w:color="auto"/>
        <w:right w:val="none" w:sz="0" w:space="0" w:color="auto"/>
      </w:divBdr>
    </w:div>
    <w:div w:id="1228955228">
      <w:bodyDiv w:val="1"/>
      <w:marLeft w:val="0"/>
      <w:marRight w:val="0"/>
      <w:marTop w:val="0"/>
      <w:marBottom w:val="0"/>
      <w:divBdr>
        <w:top w:val="none" w:sz="0" w:space="0" w:color="auto"/>
        <w:left w:val="none" w:sz="0" w:space="0" w:color="auto"/>
        <w:bottom w:val="none" w:sz="0" w:space="0" w:color="auto"/>
        <w:right w:val="none" w:sz="0" w:space="0" w:color="auto"/>
      </w:divBdr>
    </w:div>
    <w:div w:id="1282419711">
      <w:bodyDiv w:val="1"/>
      <w:marLeft w:val="0"/>
      <w:marRight w:val="0"/>
      <w:marTop w:val="0"/>
      <w:marBottom w:val="0"/>
      <w:divBdr>
        <w:top w:val="none" w:sz="0" w:space="0" w:color="auto"/>
        <w:left w:val="none" w:sz="0" w:space="0" w:color="auto"/>
        <w:bottom w:val="none" w:sz="0" w:space="0" w:color="auto"/>
        <w:right w:val="none" w:sz="0" w:space="0" w:color="auto"/>
      </w:divBdr>
    </w:div>
    <w:div w:id="1372993888">
      <w:bodyDiv w:val="1"/>
      <w:marLeft w:val="0"/>
      <w:marRight w:val="0"/>
      <w:marTop w:val="0"/>
      <w:marBottom w:val="0"/>
      <w:divBdr>
        <w:top w:val="none" w:sz="0" w:space="0" w:color="auto"/>
        <w:left w:val="none" w:sz="0" w:space="0" w:color="auto"/>
        <w:bottom w:val="none" w:sz="0" w:space="0" w:color="auto"/>
        <w:right w:val="none" w:sz="0" w:space="0" w:color="auto"/>
      </w:divBdr>
    </w:div>
    <w:div w:id="1618029651">
      <w:bodyDiv w:val="1"/>
      <w:marLeft w:val="0"/>
      <w:marRight w:val="0"/>
      <w:marTop w:val="0"/>
      <w:marBottom w:val="0"/>
      <w:divBdr>
        <w:top w:val="none" w:sz="0" w:space="0" w:color="auto"/>
        <w:left w:val="none" w:sz="0" w:space="0" w:color="auto"/>
        <w:bottom w:val="none" w:sz="0" w:space="0" w:color="auto"/>
        <w:right w:val="none" w:sz="0" w:space="0" w:color="auto"/>
      </w:divBdr>
    </w:div>
    <w:div w:id="1685477307">
      <w:bodyDiv w:val="1"/>
      <w:marLeft w:val="0"/>
      <w:marRight w:val="0"/>
      <w:marTop w:val="0"/>
      <w:marBottom w:val="0"/>
      <w:divBdr>
        <w:top w:val="none" w:sz="0" w:space="0" w:color="auto"/>
        <w:left w:val="none" w:sz="0" w:space="0" w:color="auto"/>
        <w:bottom w:val="none" w:sz="0" w:space="0" w:color="auto"/>
        <w:right w:val="none" w:sz="0" w:space="0" w:color="auto"/>
      </w:divBdr>
    </w:div>
    <w:div w:id="1729573800">
      <w:bodyDiv w:val="1"/>
      <w:marLeft w:val="0"/>
      <w:marRight w:val="0"/>
      <w:marTop w:val="0"/>
      <w:marBottom w:val="0"/>
      <w:divBdr>
        <w:top w:val="none" w:sz="0" w:space="0" w:color="auto"/>
        <w:left w:val="none" w:sz="0" w:space="0" w:color="auto"/>
        <w:bottom w:val="none" w:sz="0" w:space="0" w:color="auto"/>
        <w:right w:val="none" w:sz="0" w:space="0" w:color="auto"/>
      </w:divBdr>
    </w:div>
    <w:div w:id="1815636453">
      <w:bodyDiv w:val="1"/>
      <w:marLeft w:val="0"/>
      <w:marRight w:val="0"/>
      <w:marTop w:val="0"/>
      <w:marBottom w:val="0"/>
      <w:divBdr>
        <w:top w:val="none" w:sz="0" w:space="0" w:color="auto"/>
        <w:left w:val="none" w:sz="0" w:space="0" w:color="auto"/>
        <w:bottom w:val="none" w:sz="0" w:space="0" w:color="auto"/>
        <w:right w:val="none" w:sz="0" w:space="0" w:color="auto"/>
      </w:divBdr>
    </w:div>
    <w:div w:id="19519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Notatpapir%20Okonomi.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49AF6C97773743B3AA54CBADD89C3B" ma:contentTypeVersion="0" ma:contentTypeDescription="Opret et nyt dokument." ma:contentTypeScope="" ma:versionID="a85f508b834fefffc0f29248d9781ad7">
  <xsd:schema xmlns:xsd="http://www.w3.org/2001/XMLSchema" xmlns:p="http://schemas.microsoft.com/office/2006/metadata/properties" targetNamespace="http://schemas.microsoft.com/office/2006/metadata/properties" ma:root="true" ma:fieldsID="e3fb1237b4dad371145c6041468c35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9D6CD-BAFE-4E4B-A994-7D622356E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784CB4-A3BD-4227-8348-6276AA8F08B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3156B60E-F54A-4D51-B7A5-DE41817CB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Notatpapir Okonomi</Template>
  <TotalTime>357</TotalTime>
  <Pages>4</Pages>
  <Words>880</Words>
  <Characters>5612</Characters>
  <Application>Microsoft Office Word</Application>
  <DocSecurity>0</DocSecurity>
  <Lines>46</Lines>
  <Paragraphs>12</Paragraphs>
  <ScaleCrop>false</ScaleCrop>
  <HeadingPairs>
    <vt:vector size="4" baseType="variant">
      <vt:variant>
        <vt:lpstr>Titel</vt:lpstr>
      </vt:variant>
      <vt:variant>
        <vt:i4>1</vt:i4>
      </vt:variant>
      <vt:variant>
        <vt:lpstr>Overskrifter</vt:lpstr>
      </vt:variant>
      <vt:variant>
        <vt:i4>3</vt:i4>
      </vt:variant>
    </vt:vector>
  </HeadingPairs>
  <TitlesOfParts>
    <vt:vector size="4" baseType="lpstr">
      <vt:lpstr/>
      <vt:lpstr>Revisionsberetninger til årsregnskab 2013, revisionens bemærkninger med besvarel</vt:lpstr>
      <vt:lpstr/>
      <vt:lpstr/>
    </vt:vector>
  </TitlesOfParts>
  <Company>Fredericia Kommune</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Karsten Damm</dc:creator>
  <cp:lastModifiedBy>Karsten Damm</cp:lastModifiedBy>
  <cp:revision>4</cp:revision>
  <cp:lastPrinted>2014-08-26T13:31:00Z</cp:lastPrinted>
  <dcterms:created xsi:type="dcterms:W3CDTF">2014-08-26T08:23:00Z</dcterms:created>
  <dcterms:modified xsi:type="dcterms:W3CDTF">2014-08-27T06:31:00Z</dcterms:modified>
  <cp:contentType>Dokument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0x010100E149AF6C97773743B3AA54CBADD89C3B</vt:lpwstr>
  </property>
</Properties>
</file>