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89" w:rsidRDefault="001A1789" w:rsidP="00D74A10">
      <w:pPr>
        <w:rPr>
          <w:b/>
        </w:rPr>
      </w:pPr>
      <w:r>
        <w:rPr>
          <w:b/>
        </w:rPr>
        <w:t xml:space="preserve">Beskrivelse af 2 økonomiske scenarier vedr. opførelse af 6 almene ældreboliger på </w:t>
      </w:r>
      <w:proofErr w:type="spellStart"/>
      <w:r>
        <w:rPr>
          <w:b/>
        </w:rPr>
        <w:t>Stævnhøj</w:t>
      </w:r>
      <w:proofErr w:type="spellEnd"/>
    </w:p>
    <w:p w:rsidR="001A1789" w:rsidRDefault="001A1789" w:rsidP="00D74A10">
      <w:pPr>
        <w:rPr>
          <w:b/>
        </w:rPr>
      </w:pPr>
    </w:p>
    <w:p w:rsidR="009C2EB6" w:rsidRDefault="009C2EB6" w:rsidP="00D74A10">
      <w:pPr>
        <w:rPr>
          <w:b/>
        </w:rPr>
      </w:pPr>
      <w:r w:rsidRPr="009C2EB6">
        <w:rPr>
          <w:b/>
        </w:rPr>
        <w:t>Økonomiske konsekvenser</w:t>
      </w:r>
    </w:p>
    <w:p w:rsidR="00DC012E" w:rsidRDefault="00DC012E" w:rsidP="00D74A10">
      <w:pPr>
        <w:rPr>
          <w:b/>
        </w:rPr>
      </w:pPr>
    </w:p>
    <w:p w:rsidR="00DC012E" w:rsidRDefault="00DC012E" w:rsidP="00D74A10">
      <w:r>
        <w:t>Nedenfor er skitseret 2 økonomiske alternativer</w:t>
      </w:r>
      <w:r w:rsidRPr="00DC012E">
        <w:rPr>
          <w:i/>
        </w:rPr>
        <w:t>, økonomi I</w:t>
      </w:r>
      <w:r>
        <w:t xml:space="preserve"> der skitserer, at boligerne anvendes som aflastningsboliger </w:t>
      </w:r>
      <w:r w:rsidRPr="00DC012E">
        <w:rPr>
          <w:i/>
        </w:rPr>
        <w:t>samt økonomi II</w:t>
      </w:r>
      <w:r>
        <w:t xml:space="preserve"> der skitserer anvendelse som permanente plejeboliger.</w:t>
      </w:r>
    </w:p>
    <w:p w:rsidR="00FD06C8" w:rsidRPr="00DC012E" w:rsidRDefault="00FD06C8" w:rsidP="00D74A10">
      <w:r>
        <w:t xml:space="preserve">Der gøres opmærksom på, at de økonomiske konsekvenser er beregnet ud fra de </w:t>
      </w:r>
      <w:r w:rsidR="00FB1BA8">
        <w:t xml:space="preserve">nuværende oplysninger om byggeriet, boliger osv. </w:t>
      </w:r>
    </w:p>
    <w:p w:rsidR="009C2EB6" w:rsidRDefault="00D74A10" w:rsidP="00D74A10">
      <w:r w:rsidRPr="009C2EB6">
        <w:rPr>
          <w:i/>
        </w:rPr>
        <w:t> </w:t>
      </w:r>
    </w:p>
    <w:p w:rsidR="00F403A6" w:rsidRDefault="00F847F3" w:rsidP="00F847F3">
      <w:pPr>
        <w:rPr>
          <w:color w:val="000000"/>
          <w:szCs w:val="20"/>
          <w:lang w:eastAsia="da-DK"/>
        </w:rPr>
      </w:pPr>
      <w:r w:rsidRPr="00F847F3">
        <w:rPr>
          <w:color w:val="000000"/>
          <w:szCs w:val="20"/>
          <w:lang w:eastAsia="da-DK"/>
        </w:rPr>
        <w:t xml:space="preserve">I den nedenfor skitserede </w:t>
      </w:r>
      <w:r w:rsidRPr="00812DD1">
        <w:rPr>
          <w:i/>
          <w:color w:val="000000"/>
          <w:szCs w:val="20"/>
          <w:lang w:eastAsia="da-DK"/>
        </w:rPr>
        <w:t>økonomi</w:t>
      </w:r>
      <w:r w:rsidR="00812DD1" w:rsidRPr="00812DD1">
        <w:rPr>
          <w:i/>
          <w:color w:val="000000"/>
          <w:szCs w:val="20"/>
          <w:lang w:eastAsia="da-DK"/>
        </w:rPr>
        <w:t xml:space="preserve"> I</w:t>
      </w:r>
      <w:r w:rsidRPr="00F847F3">
        <w:rPr>
          <w:color w:val="000000"/>
          <w:szCs w:val="20"/>
          <w:lang w:eastAsia="da-DK"/>
        </w:rPr>
        <w:t xml:space="preserve"> er det forudsat, at boligerne anvendes som </w:t>
      </w:r>
      <w:r w:rsidRPr="00812DD1">
        <w:rPr>
          <w:b/>
          <w:color w:val="000000"/>
          <w:szCs w:val="20"/>
          <w:lang w:eastAsia="da-DK"/>
        </w:rPr>
        <w:t>aflastningsboliger.</w:t>
      </w:r>
      <w:r w:rsidRPr="00F847F3">
        <w:rPr>
          <w:color w:val="000000"/>
          <w:szCs w:val="20"/>
          <w:lang w:eastAsia="da-DK"/>
        </w:rPr>
        <w:t xml:space="preserve"> </w:t>
      </w:r>
    </w:p>
    <w:p w:rsidR="00F403A6" w:rsidRDefault="00F403A6" w:rsidP="00F847F3">
      <w:pPr>
        <w:rPr>
          <w:color w:val="000000"/>
          <w:szCs w:val="20"/>
          <w:lang w:eastAsia="da-DK"/>
        </w:rPr>
      </w:pPr>
    </w:p>
    <w:p w:rsidR="00D74A10" w:rsidRDefault="00D74A10" w:rsidP="00D74A10"/>
    <w:tbl>
      <w:tblPr>
        <w:tblW w:w="96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540"/>
        <w:gridCol w:w="1100"/>
        <w:gridCol w:w="1000"/>
        <w:gridCol w:w="1000"/>
        <w:gridCol w:w="1000"/>
        <w:gridCol w:w="1000"/>
        <w:gridCol w:w="1000"/>
        <w:gridCol w:w="1000"/>
      </w:tblGrid>
      <w:tr w:rsidR="009C2EB6" w:rsidRPr="009C2EB6" w:rsidTr="009C2EB6">
        <w:trPr>
          <w:trHeight w:val="5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rPr>
                <w:i/>
                <w:iCs/>
                <w:color w:val="000000"/>
                <w:szCs w:val="20"/>
                <w:lang w:eastAsia="da-DK"/>
              </w:rPr>
            </w:pPr>
            <w:r w:rsidRPr="009C2EB6">
              <w:rPr>
                <w:i/>
                <w:iCs/>
                <w:color w:val="000000"/>
                <w:szCs w:val="20"/>
                <w:lang w:eastAsia="da-DK"/>
              </w:rPr>
              <w:t>Tekst</w:t>
            </w:r>
            <w:r w:rsidRPr="009C2EB6">
              <w:rPr>
                <w:i/>
                <w:iCs/>
                <w:color w:val="000000"/>
                <w:szCs w:val="20"/>
                <w:lang w:eastAsia="da-DK"/>
              </w:rPr>
              <w:br/>
              <w:t>(beløb i mio. kr.)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Anlægs-</w:t>
            </w:r>
            <w:r w:rsidRPr="009C2EB6">
              <w:rPr>
                <w:color w:val="000000"/>
                <w:szCs w:val="20"/>
                <w:lang w:eastAsia="da-DK"/>
              </w:rPr>
              <w:br/>
              <w:t>bevilling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proofErr w:type="spellStart"/>
            <w:r w:rsidRPr="009C2EB6">
              <w:rPr>
                <w:color w:val="000000"/>
                <w:szCs w:val="20"/>
                <w:lang w:eastAsia="da-DK"/>
              </w:rPr>
              <w:t>Fri-</w:t>
            </w:r>
            <w:proofErr w:type="spellEnd"/>
            <w:r w:rsidRPr="009C2EB6">
              <w:rPr>
                <w:color w:val="000000"/>
                <w:szCs w:val="20"/>
                <w:lang w:eastAsia="da-DK"/>
              </w:rPr>
              <w:br/>
            </w:r>
            <w:proofErr w:type="spellStart"/>
            <w:r w:rsidRPr="009C2EB6">
              <w:rPr>
                <w:color w:val="000000"/>
                <w:szCs w:val="20"/>
                <w:lang w:eastAsia="da-DK"/>
              </w:rPr>
              <w:t>givelse</w:t>
            </w:r>
            <w:proofErr w:type="spellEnd"/>
          </w:p>
        </w:tc>
      </w:tr>
      <w:tr w:rsidR="009C2EB6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B6" w:rsidRPr="009C2EB6" w:rsidRDefault="009C2EB6" w:rsidP="009C2EB6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Boligdel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9,521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9,521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9,521</w:t>
            </w:r>
          </w:p>
        </w:tc>
      </w:tr>
      <w:tr w:rsidR="009C2EB6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B6" w:rsidRPr="009C2EB6" w:rsidRDefault="009C2EB6" w:rsidP="009C2EB6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Servicedel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1,646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403A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1,646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403A6" w:rsidP="009C2EB6">
            <w:pPr>
              <w:jc w:val="center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1,646</w:t>
            </w:r>
          </w:p>
        </w:tc>
      </w:tr>
      <w:tr w:rsidR="00F403A6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3A6" w:rsidRPr="009C2EB6" w:rsidRDefault="00F403A6" w:rsidP="009C2EB6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Servicedel – indtægter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A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-1,193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A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A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A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A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A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-1,193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3A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-1,193</w:t>
            </w:r>
          </w:p>
        </w:tc>
      </w:tr>
      <w:tr w:rsidR="009C2EB6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B6" w:rsidRPr="009C2EB6" w:rsidRDefault="009C2EB6" w:rsidP="009C2EB6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Låntagning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-8,378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B3BB0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-8,378</w:t>
            </w:r>
            <w:r w:rsidR="009C2EB6"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B3BB0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-8,378</w:t>
            </w:r>
          </w:p>
        </w:tc>
      </w:tr>
      <w:tr w:rsidR="009C2EB6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B6" w:rsidRPr="009C2EB6" w:rsidRDefault="00F403A6" w:rsidP="00F403A6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Renter og a</w:t>
            </w:r>
            <w:r w:rsidR="009C2EB6" w:rsidRPr="009C2EB6">
              <w:rPr>
                <w:color w:val="000000"/>
                <w:szCs w:val="20"/>
                <w:lang w:eastAsia="da-DK"/>
              </w:rPr>
              <w:t>fdrag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0,184</w:t>
            </w:r>
            <w:r w:rsidR="009C2EB6"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</w:t>
            </w:r>
            <w:r w:rsidR="009F0E96">
              <w:rPr>
                <w:color w:val="000000"/>
                <w:szCs w:val="20"/>
                <w:lang w:eastAsia="da-DK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</w:t>
            </w:r>
            <w:r w:rsidR="009F0E96">
              <w:rPr>
                <w:color w:val="000000"/>
                <w:szCs w:val="20"/>
                <w:lang w:eastAsia="da-DK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403A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</w:t>
            </w:r>
            <w:r w:rsidR="009F0E96">
              <w:rPr>
                <w:color w:val="000000"/>
                <w:szCs w:val="20"/>
                <w:lang w:eastAsia="da-DK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  <w:tr w:rsidR="00022567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67" w:rsidRPr="009C2EB6" w:rsidRDefault="00FD06C8" w:rsidP="00FD06C8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Driftsudgifter boliger (Ejendomscentret)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67" w:rsidRPr="009C2EB6" w:rsidRDefault="00022567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67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67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67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67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67" w:rsidRPr="009C2EB6" w:rsidRDefault="00022567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67" w:rsidRPr="009C2EB6" w:rsidRDefault="00022567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</w:tr>
      <w:tr w:rsidR="00FD06C8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C8" w:rsidRPr="009C2EB6" w:rsidRDefault="00FD06C8" w:rsidP="009C2EB6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Indtægter boliger (Ejendomscentret)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8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8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8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8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8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8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6C8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</w:tr>
      <w:tr w:rsidR="009C2EB6" w:rsidRPr="009C2EB6" w:rsidTr="009C2EB6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B6" w:rsidRPr="009C2EB6" w:rsidRDefault="009C2EB6" w:rsidP="009C2EB6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Driftsudgifter</w:t>
            </w:r>
            <w:r w:rsidR="00E64C26">
              <w:rPr>
                <w:color w:val="000000"/>
                <w:szCs w:val="20"/>
                <w:lang w:eastAsia="da-DK"/>
              </w:rPr>
              <w:t xml:space="preserve"> inkl.</w:t>
            </w:r>
            <w:r w:rsidR="00FD06C8">
              <w:rPr>
                <w:color w:val="000000"/>
                <w:szCs w:val="20"/>
                <w:lang w:eastAsia="da-DK"/>
              </w:rPr>
              <w:t xml:space="preserve"> husleje og forbrug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2,800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  <w:tr w:rsidR="009C2EB6" w:rsidRPr="009C2EB6" w:rsidTr="009C2EB6">
        <w:trPr>
          <w:trHeight w:val="50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B6" w:rsidRPr="009C2EB6" w:rsidRDefault="009C2EB6" w:rsidP="009C2EB6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Finansiering driftsudgifter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-2,800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  <w:tr w:rsidR="009C2EB6" w:rsidRPr="009C2EB6" w:rsidTr="009C2EB6">
        <w:trPr>
          <w:trHeight w:val="50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B6" w:rsidRPr="009C2EB6" w:rsidRDefault="009C2EB6" w:rsidP="009C2EB6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I alt (- = kasseindlæg/</w:t>
            </w:r>
            <w:r w:rsidRPr="009C2EB6">
              <w:rPr>
                <w:color w:val="000000"/>
                <w:szCs w:val="20"/>
                <w:lang w:eastAsia="da-DK"/>
              </w:rPr>
              <w:br/>
              <w:t xml:space="preserve"> + = kasseudlæg)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9,974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-8,</w:t>
            </w:r>
            <w:r w:rsidR="00FD06C8">
              <w:rPr>
                <w:color w:val="000000"/>
                <w:szCs w:val="20"/>
                <w:lang w:eastAsia="da-DK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D06C8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FD06C8" w:rsidP="009F0E96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B6" w:rsidRPr="009C2EB6" w:rsidRDefault="009C2EB6" w:rsidP="009C2EB6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</w:tbl>
    <w:p w:rsidR="00D74A10" w:rsidRDefault="00D74A10" w:rsidP="00D74A10"/>
    <w:tbl>
      <w:tblPr>
        <w:tblW w:w="1271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95"/>
        <w:gridCol w:w="5956"/>
        <w:gridCol w:w="284"/>
        <w:gridCol w:w="589"/>
        <w:gridCol w:w="1015"/>
        <w:gridCol w:w="1015"/>
        <w:gridCol w:w="160"/>
      </w:tblGrid>
      <w:tr w:rsidR="00F847F3" w:rsidRPr="00210E64" w:rsidTr="00DC012E">
        <w:trPr>
          <w:trHeight w:val="288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210E64" w:rsidRDefault="00F847F3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  <w:p w:rsidR="00F847F3" w:rsidRPr="00210E64" w:rsidRDefault="00F847F3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  <w:r w:rsidRPr="00210E64">
              <w:rPr>
                <w:color w:val="000000"/>
                <w:szCs w:val="20"/>
                <w:u w:val="single"/>
                <w:lang w:eastAsia="da-DK"/>
              </w:rPr>
              <w:t>Finansiering af boligdel/servicedel: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Default="00F847F3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  <w:p w:rsidR="00DC012E" w:rsidRPr="00210E64" w:rsidRDefault="00DC012E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210E64" w:rsidRDefault="00F847F3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210E64" w:rsidRDefault="00F847F3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210E64" w:rsidRDefault="00F847F3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210E64" w:rsidRDefault="00F847F3" w:rsidP="00812DD1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</w:tr>
      <w:tr w:rsidR="00F847F3" w:rsidRPr="009C2EB6" w:rsidTr="00DC012E">
        <w:trPr>
          <w:gridAfter w:val="4"/>
          <w:wAfter w:w="2779" w:type="dxa"/>
          <w:trHeight w:val="288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2E" w:rsidRDefault="00DC012E" w:rsidP="00F403A6">
            <w:pPr>
              <w:ind w:right="-6310"/>
              <w:rPr>
                <w:color w:val="000000"/>
                <w:szCs w:val="20"/>
                <w:lang w:eastAsia="da-DK"/>
              </w:rPr>
            </w:pPr>
          </w:p>
          <w:p w:rsidR="00F847F3" w:rsidRDefault="00F403A6" w:rsidP="00F403A6">
            <w:pPr>
              <w:ind w:right="-631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Byggeudgifterne på boligdelen </w:t>
            </w:r>
            <w:r w:rsidR="00F847F3" w:rsidRPr="009C2EB6">
              <w:rPr>
                <w:color w:val="000000"/>
                <w:szCs w:val="20"/>
                <w:lang w:eastAsia="da-DK"/>
              </w:rPr>
              <w:t>finansieres midlertidigt af en byggekredit i år 2015.</w:t>
            </w:r>
          </w:p>
          <w:p w:rsidR="00E51A4B" w:rsidRDefault="00E51A4B" w:rsidP="00E51A4B">
            <w:pPr>
              <w:ind w:right="-631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Servicedel – indtægter kommer fra salg af boligarealer (-0,953 mio. kr.) samt servicearealtilskud </w:t>
            </w:r>
          </w:p>
          <w:p w:rsidR="00E51A4B" w:rsidRPr="009C2EB6" w:rsidRDefault="00E51A4B" w:rsidP="00E51A4B">
            <w:pPr>
              <w:ind w:right="-631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(-0,240 mio. kr.). </w:t>
            </w:r>
          </w:p>
        </w:tc>
      </w:tr>
      <w:tr w:rsidR="00F847F3" w:rsidRPr="009C2EB6" w:rsidTr="00DC012E">
        <w:trPr>
          <w:trHeight w:val="288"/>
        </w:trPr>
        <w:tc>
          <w:tcPr>
            <w:tcW w:w="9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2E" w:rsidRDefault="00DC012E" w:rsidP="00812DD1">
            <w:pPr>
              <w:ind w:right="-6310"/>
              <w:rPr>
                <w:color w:val="000000"/>
                <w:szCs w:val="20"/>
                <w:lang w:eastAsia="da-DK"/>
              </w:rPr>
            </w:pPr>
          </w:p>
          <w:p w:rsidR="00E51A4B" w:rsidRDefault="00F847F3" w:rsidP="00812DD1">
            <w:pPr>
              <w:ind w:right="-6310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I år 2016 hjemtages et lån på -8,378 mio.</w:t>
            </w:r>
            <w:r>
              <w:rPr>
                <w:color w:val="000000"/>
                <w:szCs w:val="20"/>
                <w:lang w:eastAsia="da-DK"/>
              </w:rPr>
              <w:t xml:space="preserve"> </w:t>
            </w:r>
            <w:r w:rsidRPr="009C2EB6">
              <w:rPr>
                <w:color w:val="000000"/>
                <w:szCs w:val="20"/>
                <w:lang w:eastAsia="da-DK"/>
              </w:rPr>
              <w:t>kr.</w:t>
            </w:r>
            <w:r>
              <w:rPr>
                <w:color w:val="000000"/>
                <w:szCs w:val="20"/>
                <w:lang w:eastAsia="da-DK"/>
              </w:rPr>
              <w:t xml:space="preserve"> som optages i kommunekredit.</w:t>
            </w:r>
          </w:p>
          <w:p w:rsidR="009F0E96" w:rsidRPr="009C2EB6" w:rsidRDefault="009F0E96" w:rsidP="00812DD1">
            <w:pPr>
              <w:ind w:right="-631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Renter og afdrag finansieres</w:t>
            </w:r>
            <w:r w:rsidR="002C5989">
              <w:rPr>
                <w:color w:val="000000"/>
                <w:szCs w:val="20"/>
                <w:lang w:eastAsia="da-DK"/>
              </w:rPr>
              <w:t xml:space="preserve"> af kommunekassen, så længe boligerne ikke udlejes.</w:t>
            </w:r>
            <w:r>
              <w:rPr>
                <w:color w:val="000000"/>
                <w:szCs w:val="20"/>
                <w:lang w:eastAsia="da-DK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9C2EB6" w:rsidRDefault="00F847F3" w:rsidP="00F847F3">
            <w:pPr>
              <w:ind w:left="-9709" w:right="-631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Som optages i kommunekredit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9C2EB6" w:rsidRDefault="00F847F3" w:rsidP="00F847F3">
            <w:pPr>
              <w:ind w:left="-5641" w:right="-6310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9C2EB6" w:rsidRDefault="00F847F3" w:rsidP="00812DD1">
            <w:pPr>
              <w:ind w:right="-6310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F3" w:rsidRPr="009C2EB6" w:rsidRDefault="00F847F3" w:rsidP="00812DD1">
            <w:pPr>
              <w:ind w:right="-6310"/>
              <w:rPr>
                <w:color w:val="000000"/>
                <w:szCs w:val="20"/>
                <w:lang w:eastAsia="da-DK"/>
              </w:rPr>
            </w:pPr>
          </w:p>
        </w:tc>
      </w:tr>
    </w:tbl>
    <w:p w:rsidR="009C2EB6" w:rsidRDefault="009C2EB6" w:rsidP="00D74A10"/>
    <w:tbl>
      <w:tblPr>
        <w:tblW w:w="11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95"/>
        <w:gridCol w:w="1015"/>
        <w:gridCol w:w="1015"/>
        <w:gridCol w:w="1015"/>
        <w:gridCol w:w="1015"/>
        <w:gridCol w:w="1896"/>
        <w:gridCol w:w="142"/>
        <w:gridCol w:w="873"/>
        <w:gridCol w:w="934"/>
      </w:tblGrid>
      <w:tr w:rsidR="009C2EB6" w:rsidRPr="00210E64" w:rsidTr="00F847F3">
        <w:trPr>
          <w:trHeight w:val="288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-6026"/>
              <w:rPr>
                <w:color w:val="000000"/>
                <w:szCs w:val="20"/>
                <w:u w:val="single"/>
                <w:lang w:eastAsia="da-DK"/>
              </w:rPr>
            </w:pPr>
            <w:r w:rsidRPr="00210E64">
              <w:rPr>
                <w:color w:val="000000"/>
                <w:szCs w:val="20"/>
                <w:u w:val="single"/>
                <w:lang w:eastAsia="da-DK"/>
              </w:rPr>
              <w:t>Finansiering af driftsudgifter: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EB6" w:rsidRPr="00210E64" w:rsidRDefault="009C2EB6" w:rsidP="00F847F3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</w:tr>
      <w:tr w:rsidR="009C2EB6" w:rsidRPr="009C2EB6" w:rsidTr="00DC012E">
        <w:trPr>
          <w:gridAfter w:val="2"/>
          <w:wAfter w:w="1807" w:type="dxa"/>
          <w:trHeight w:val="288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64" w:rsidRDefault="00210E64" w:rsidP="00F403A6">
            <w:pPr>
              <w:ind w:right="1595"/>
              <w:rPr>
                <w:color w:val="000000"/>
                <w:szCs w:val="20"/>
                <w:lang w:eastAsia="da-DK"/>
              </w:rPr>
            </w:pPr>
          </w:p>
          <w:p w:rsidR="00F403A6" w:rsidRPr="009C2EB6" w:rsidRDefault="00210E64" w:rsidP="00022567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Huslejen forventes at udgøre </w:t>
            </w:r>
            <w:r w:rsidR="0070707A">
              <w:rPr>
                <w:color w:val="000000"/>
                <w:szCs w:val="20"/>
                <w:lang w:eastAsia="da-DK"/>
              </w:rPr>
              <w:t xml:space="preserve">0,394 mio. kr./år for de 6 boliger. </w:t>
            </w:r>
            <w:r w:rsidR="00DC012E">
              <w:rPr>
                <w:color w:val="000000"/>
                <w:szCs w:val="20"/>
                <w:lang w:eastAsia="da-DK"/>
              </w:rPr>
              <w:t xml:space="preserve">Hertil kommer årlige </w:t>
            </w:r>
            <w:r w:rsidR="00022567">
              <w:rPr>
                <w:color w:val="000000"/>
                <w:szCs w:val="20"/>
                <w:lang w:eastAsia="da-DK"/>
              </w:rPr>
              <w:t>forbrugsudgifter, der a</w:t>
            </w:r>
            <w:r w:rsidR="00DC012E">
              <w:rPr>
                <w:color w:val="000000"/>
                <w:szCs w:val="20"/>
                <w:lang w:eastAsia="da-DK"/>
              </w:rPr>
              <w:t xml:space="preserve">ntages at udgøre </w:t>
            </w:r>
            <w:r w:rsidR="00022567">
              <w:rPr>
                <w:color w:val="000000"/>
                <w:szCs w:val="20"/>
                <w:lang w:eastAsia="da-DK"/>
              </w:rPr>
              <w:t>0,053</w:t>
            </w:r>
            <w:r w:rsidR="0070707A">
              <w:rPr>
                <w:color w:val="000000"/>
                <w:szCs w:val="20"/>
                <w:lang w:eastAsia="da-DK"/>
              </w:rPr>
              <w:t xml:space="preserve"> mio. kr. Samlet driftsudgift 0,</w:t>
            </w:r>
            <w:r w:rsidR="00022567">
              <w:rPr>
                <w:color w:val="000000"/>
                <w:szCs w:val="20"/>
                <w:lang w:eastAsia="da-DK"/>
              </w:rPr>
              <w:t>447</w:t>
            </w:r>
            <w:r w:rsidR="0070707A">
              <w:rPr>
                <w:color w:val="000000"/>
                <w:szCs w:val="20"/>
                <w:lang w:eastAsia="da-DK"/>
              </w:rPr>
              <w:t xml:space="preserve"> mio. kr./år.</w:t>
            </w:r>
          </w:p>
        </w:tc>
      </w:tr>
      <w:tr w:rsidR="009C2EB6" w:rsidRPr="009C2EB6" w:rsidTr="00DC012E">
        <w:trPr>
          <w:gridAfter w:val="2"/>
          <w:wAfter w:w="1807" w:type="dxa"/>
          <w:trHeight w:val="288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2E" w:rsidRDefault="00DC012E" w:rsidP="00F847F3">
            <w:pPr>
              <w:ind w:right="856"/>
              <w:rPr>
                <w:color w:val="000000"/>
                <w:szCs w:val="20"/>
                <w:lang w:eastAsia="da-DK"/>
              </w:rPr>
            </w:pPr>
          </w:p>
          <w:p w:rsidR="0070707A" w:rsidRDefault="0070707A" w:rsidP="0070707A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Driftsudgifter vedr. plejepersonale, afledte personaleudgifter, rengøring mv. </w:t>
            </w:r>
            <w:r w:rsidRPr="009C2EB6">
              <w:rPr>
                <w:color w:val="000000"/>
                <w:szCs w:val="20"/>
                <w:lang w:eastAsia="da-DK"/>
              </w:rPr>
              <w:t xml:space="preserve">forventes </w:t>
            </w:r>
            <w:r>
              <w:rPr>
                <w:color w:val="000000"/>
                <w:szCs w:val="20"/>
                <w:lang w:eastAsia="da-DK"/>
              </w:rPr>
              <w:t>årligt at udgøre 4,</w:t>
            </w:r>
            <w:r w:rsidR="00022567">
              <w:rPr>
                <w:color w:val="000000"/>
                <w:szCs w:val="20"/>
                <w:lang w:eastAsia="da-DK"/>
              </w:rPr>
              <w:t>353</w:t>
            </w:r>
            <w:r>
              <w:rPr>
                <w:color w:val="000000"/>
                <w:szCs w:val="20"/>
                <w:lang w:eastAsia="da-DK"/>
              </w:rPr>
              <w:t xml:space="preserve"> mio. kr.</w:t>
            </w:r>
            <w:r w:rsidR="00022567">
              <w:rPr>
                <w:color w:val="000000"/>
                <w:szCs w:val="20"/>
                <w:lang w:eastAsia="da-DK"/>
              </w:rPr>
              <w:t xml:space="preserve"> </w:t>
            </w:r>
            <w:r>
              <w:rPr>
                <w:color w:val="000000"/>
                <w:szCs w:val="20"/>
                <w:lang w:eastAsia="da-DK"/>
              </w:rPr>
              <w:t>Samlet driftsudgift inkl. personale og drift, 4,</w:t>
            </w:r>
            <w:r w:rsidR="00022567">
              <w:rPr>
                <w:color w:val="000000"/>
                <w:szCs w:val="20"/>
                <w:lang w:eastAsia="da-DK"/>
              </w:rPr>
              <w:t>800</w:t>
            </w:r>
            <w:r>
              <w:rPr>
                <w:color w:val="000000"/>
                <w:szCs w:val="20"/>
                <w:lang w:eastAsia="da-DK"/>
              </w:rPr>
              <w:t xml:space="preserve"> mio. kr./år. </w:t>
            </w:r>
          </w:p>
          <w:p w:rsidR="0070707A" w:rsidRDefault="0070707A" w:rsidP="00F00BA2">
            <w:pPr>
              <w:rPr>
                <w:color w:val="000000"/>
                <w:szCs w:val="20"/>
                <w:lang w:eastAsia="da-DK"/>
              </w:rPr>
            </w:pPr>
          </w:p>
          <w:p w:rsidR="0070707A" w:rsidRPr="009C2EB6" w:rsidRDefault="0070707A" w:rsidP="00FB1BA8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Driftsudgiften i 2016</w:t>
            </w:r>
            <w:r w:rsidR="00DD00F0">
              <w:rPr>
                <w:color w:val="000000"/>
                <w:szCs w:val="20"/>
                <w:lang w:eastAsia="da-DK"/>
              </w:rPr>
              <w:t xml:space="preserve"> på 2,800 mio. kr.</w:t>
            </w:r>
            <w:r>
              <w:rPr>
                <w:color w:val="000000"/>
                <w:szCs w:val="20"/>
                <w:lang w:eastAsia="da-DK"/>
              </w:rPr>
              <w:t xml:space="preserve"> (drift fra 1. juni 2016</w:t>
            </w:r>
            <w:r w:rsidR="00FB1BA8">
              <w:rPr>
                <w:color w:val="000000"/>
                <w:szCs w:val="20"/>
                <w:lang w:eastAsia="da-DK"/>
              </w:rPr>
              <w:t>)</w:t>
            </w:r>
            <w:r>
              <w:rPr>
                <w:color w:val="000000"/>
                <w:szCs w:val="20"/>
                <w:lang w:eastAsia="da-DK"/>
              </w:rPr>
              <w:t xml:space="preserve"> finansieres af spar år 2014 fra Pleje. </w:t>
            </w:r>
            <w:r w:rsidRPr="009C2EB6">
              <w:rPr>
                <w:color w:val="000000"/>
                <w:szCs w:val="20"/>
                <w:lang w:eastAsia="da-DK"/>
              </w:rPr>
              <w:t>Den årlige drift på 4,800</w:t>
            </w:r>
            <w:r>
              <w:rPr>
                <w:color w:val="000000"/>
                <w:szCs w:val="20"/>
                <w:lang w:eastAsia="da-DK"/>
              </w:rPr>
              <w:t xml:space="preserve"> mio. kr.</w:t>
            </w:r>
            <w:r w:rsidRPr="009C2EB6">
              <w:rPr>
                <w:color w:val="000000"/>
                <w:szCs w:val="20"/>
                <w:lang w:eastAsia="da-DK"/>
              </w:rPr>
              <w:t xml:space="preserve"> fra år 2017 skal finansieres af kommunekassen eller indgå i budgetlægningen for år 2016-2019.</w:t>
            </w:r>
          </w:p>
        </w:tc>
      </w:tr>
    </w:tbl>
    <w:p w:rsidR="00F403A6" w:rsidRDefault="00F403A6" w:rsidP="00D74A10"/>
    <w:p w:rsidR="00FB1BA8" w:rsidRDefault="00FB1BA8" w:rsidP="00812DD1">
      <w:pPr>
        <w:rPr>
          <w:color w:val="000000"/>
          <w:szCs w:val="20"/>
          <w:lang w:eastAsia="da-DK"/>
        </w:rPr>
      </w:pPr>
    </w:p>
    <w:p w:rsidR="00812DD1" w:rsidRDefault="00812DD1" w:rsidP="00812DD1">
      <w:pPr>
        <w:rPr>
          <w:color w:val="000000"/>
          <w:szCs w:val="20"/>
          <w:lang w:eastAsia="da-DK"/>
        </w:rPr>
      </w:pPr>
      <w:r w:rsidRPr="00F847F3">
        <w:rPr>
          <w:color w:val="000000"/>
          <w:szCs w:val="20"/>
          <w:lang w:eastAsia="da-DK"/>
        </w:rPr>
        <w:t xml:space="preserve">I den nedenfor skitserede </w:t>
      </w:r>
      <w:r w:rsidRPr="00812DD1">
        <w:rPr>
          <w:i/>
          <w:color w:val="000000"/>
          <w:szCs w:val="20"/>
          <w:lang w:eastAsia="da-DK"/>
        </w:rPr>
        <w:t>økonomi II</w:t>
      </w:r>
      <w:r>
        <w:rPr>
          <w:color w:val="000000"/>
          <w:szCs w:val="20"/>
          <w:lang w:eastAsia="da-DK"/>
        </w:rPr>
        <w:t xml:space="preserve"> </w:t>
      </w:r>
      <w:r w:rsidRPr="00F847F3">
        <w:rPr>
          <w:color w:val="000000"/>
          <w:szCs w:val="20"/>
          <w:lang w:eastAsia="da-DK"/>
        </w:rPr>
        <w:t xml:space="preserve">er det forudsat, at boligerne anvendes som </w:t>
      </w:r>
      <w:r>
        <w:rPr>
          <w:b/>
          <w:color w:val="000000"/>
          <w:szCs w:val="20"/>
          <w:lang w:eastAsia="da-DK"/>
        </w:rPr>
        <w:t>permanente boliger.</w:t>
      </w:r>
      <w:r w:rsidRPr="00F847F3">
        <w:rPr>
          <w:color w:val="000000"/>
          <w:szCs w:val="20"/>
          <w:lang w:eastAsia="da-DK"/>
        </w:rPr>
        <w:t xml:space="preserve"> </w:t>
      </w:r>
    </w:p>
    <w:p w:rsidR="00812DD1" w:rsidRDefault="00812DD1" w:rsidP="00812DD1">
      <w:pPr>
        <w:rPr>
          <w:color w:val="000000"/>
          <w:szCs w:val="20"/>
          <w:lang w:eastAsia="da-DK"/>
        </w:rPr>
      </w:pPr>
    </w:p>
    <w:p w:rsidR="00812DD1" w:rsidRDefault="00812DD1" w:rsidP="00812DD1"/>
    <w:tbl>
      <w:tblPr>
        <w:tblW w:w="96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540"/>
        <w:gridCol w:w="1100"/>
        <w:gridCol w:w="1000"/>
        <w:gridCol w:w="1000"/>
        <w:gridCol w:w="1000"/>
        <w:gridCol w:w="1000"/>
        <w:gridCol w:w="1000"/>
        <w:gridCol w:w="1000"/>
      </w:tblGrid>
      <w:tr w:rsidR="00812DD1" w:rsidRPr="009C2EB6" w:rsidTr="00812DD1">
        <w:trPr>
          <w:trHeight w:val="5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rPr>
                <w:i/>
                <w:iCs/>
                <w:color w:val="000000"/>
                <w:szCs w:val="20"/>
                <w:lang w:eastAsia="da-DK"/>
              </w:rPr>
            </w:pPr>
            <w:r w:rsidRPr="009C2EB6">
              <w:rPr>
                <w:i/>
                <w:iCs/>
                <w:color w:val="000000"/>
                <w:szCs w:val="20"/>
                <w:lang w:eastAsia="da-DK"/>
              </w:rPr>
              <w:t>Tekst</w:t>
            </w:r>
            <w:r w:rsidRPr="009C2EB6">
              <w:rPr>
                <w:i/>
                <w:iCs/>
                <w:color w:val="000000"/>
                <w:szCs w:val="20"/>
                <w:lang w:eastAsia="da-DK"/>
              </w:rPr>
              <w:br/>
              <w:t>(beløb i mio. kr.)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TB 2019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Anlægs-</w:t>
            </w:r>
            <w:r w:rsidRPr="009C2EB6">
              <w:rPr>
                <w:color w:val="000000"/>
                <w:szCs w:val="20"/>
                <w:lang w:eastAsia="da-DK"/>
              </w:rPr>
              <w:br/>
              <w:t>bevilling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proofErr w:type="spellStart"/>
            <w:r w:rsidRPr="009C2EB6">
              <w:rPr>
                <w:color w:val="000000"/>
                <w:szCs w:val="20"/>
                <w:lang w:eastAsia="da-DK"/>
              </w:rPr>
              <w:t>Fri-</w:t>
            </w:r>
            <w:proofErr w:type="spellEnd"/>
            <w:r w:rsidRPr="009C2EB6">
              <w:rPr>
                <w:color w:val="000000"/>
                <w:szCs w:val="20"/>
                <w:lang w:eastAsia="da-DK"/>
              </w:rPr>
              <w:br/>
            </w:r>
            <w:proofErr w:type="spellStart"/>
            <w:r w:rsidRPr="009C2EB6">
              <w:rPr>
                <w:color w:val="000000"/>
                <w:szCs w:val="20"/>
                <w:lang w:eastAsia="da-DK"/>
              </w:rPr>
              <w:t>givelse</w:t>
            </w:r>
            <w:proofErr w:type="spellEnd"/>
          </w:p>
        </w:tc>
      </w:tr>
      <w:tr w:rsidR="00812DD1" w:rsidRPr="009C2EB6" w:rsidTr="00812DD1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Boligdel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9,330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9,330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9,</w:t>
            </w:r>
            <w:r>
              <w:rPr>
                <w:color w:val="000000"/>
                <w:szCs w:val="20"/>
                <w:lang w:eastAsia="da-DK"/>
              </w:rPr>
              <w:t>330</w:t>
            </w:r>
          </w:p>
        </w:tc>
      </w:tr>
      <w:tr w:rsidR="00812DD1" w:rsidRPr="009C2EB6" w:rsidTr="00812DD1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Servicedel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1,646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1,646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center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1,646</w:t>
            </w:r>
          </w:p>
        </w:tc>
      </w:tr>
      <w:tr w:rsidR="00812DD1" w:rsidRPr="009C2EB6" w:rsidTr="00812DD1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Servicedel – indtægter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-1,193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-1,193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-1,193</w:t>
            </w:r>
          </w:p>
        </w:tc>
      </w:tr>
      <w:tr w:rsidR="00812DD1" w:rsidRPr="009C2EB6" w:rsidTr="00812DD1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Låntagning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-8,378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-8,378</w:t>
            </w: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-8,378</w:t>
            </w:r>
          </w:p>
        </w:tc>
      </w:tr>
      <w:tr w:rsidR="00812DD1" w:rsidRPr="009C2EB6" w:rsidTr="00812DD1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Renter og a</w:t>
            </w:r>
            <w:r w:rsidRPr="009C2EB6">
              <w:rPr>
                <w:color w:val="000000"/>
                <w:szCs w:val="20"/>
                <w:lang w:eastAsia="da-DK"/>
              </w:rPr>
              <w:t>fdrag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0,184</w:t>
            </w: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  <w:tr w:rsidR="00FB1BA8" w:rsidRPr="009C2EB6" w:rsidTr="000E5FE4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BA8" w:rsidRPr="009C2EB6" w:rsidRDefault="00FB1BA8" w:rsidP="000E5FE4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Driftsudgifter boliger (Ejendomscentret)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0,114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</w:tr>
      <w:tr w:rsidR="00FB1BA8" w:rsidRPr="009C2EB6" w:rsidTr="000E5FE4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BA8" w:rsidRPr="009C2EB6" w:rsidRDefault="00FB1BA8" w:rsidP="000E5FE4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Indtægter boliger (Ejendomscentret)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-0,394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8" w:rsidRPr="009C2EB6" w:rsidRDefault="00FB1BA8" w:rsidP="000E5FE4">
            <w:pPr>
              <w:jc w:val="right"/>
              <w:rPr>
                <w:color w:val="000000"/>
                <w:szCs w:val="20"/>
                <w:lang w:eastAsia="da-DK"/>
              </w:rPr>
            </w:pPr>
          </w:p>
        </w:tc>
      </w:tr>
      <w:tr w:rsidR="00812DD1" w:rsidRPr="009C2EB6" w:rsidTr="00812DD1">
        <w:trPr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Driftsudgifter</w:t>
            </w:r>
            <w:r w:rsidR="00210E64">
              <w:rPr>
                <w:color w:val="000000"/>
                <w:szCs w:val="20"/>
                <w:lang w:eastAsia="da-DK"/>
              </w:rPr>
              <w:t xml:space="preserve"> (Pleje – personale </w:t>
            </w:r>
            <w:proofErr w:type="spellStart"/>
            <w:r w:rsidR="00210E64">
              <w:rPr>
                <w:color w:val="000000"/>
                <w:szCs w:val="20"/>
                <w:lang w:eastAsia="da-DK"/>
              </w:rPr>
              <w:t>mv</w:t>
            </w:r>
            <w:proofErr w:type="spellEnd"/>
            <w:r w:rsidR="00210E64">
              <w:rPr>
                <w:color w:val="000000"/>
                <w:szCs w:val="20"/>
                <w:lang w:eastAsia="da-DK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2,</w:t>
            </w:r>
            <w:r w:rsidR="00022567">
              <w:rPr>
                <w:color w:val="000000"/>
                <w:szCs w:val="20"/>
                <w:lang w:eastAsia="da-DK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022567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4,</w:t>
            </w:r>
            <w:r w:rsidR="00022567">
              <w:rPr>
                <w:color w:val="000000"/>
                <w:szCs w:val="20"/>
                <w:lang w:eastAsia="da-DK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022567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4,353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022567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4,353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  <w:tr w:rsidR="00812DD1" w:rsidRPr="009C2EB6" w:rsidTr="00812DD1">
        <w:trPr>
          <w:trHeight w:val="50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Finansiering driftsudgifter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-2,</w:t>
            </w:r>
            <w:r w:rsidR="00022567">
              <w:rPr>
                <w:color w:val="000000"/>
                <w:szCs w:val="20"/>
                <w:lang w:eastAsia="da-DK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  <w:tr w:rsidR="00812DD1" w:rsidRPr="009C2EB6" w:rsidTr="00812DD1">
        <w:trPr>
          <w:trHeight w:val="50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DD1" w:rsidRPr="009C2EB6" w:rsidRDefault="00812DD1" w:rsidP="00812DD1">
            <w:pPr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I alt (- = kasseindlæg/</w:t>
            </w:r>
            <w:r w:rsidRPr="009C2EB6">
              <w:rPr>
                <w:color w:val="000000"/>
                <w:szCs w:val="20"/>
                <w:lang w:eastAsia="da-DK"/>
              </w:rPr>
              <w:br/>
              <w:t xml:space="preserve"> + = kasseudlæg)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70707A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9,783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-8,</w:t>
            </w:r>
            <w:r w:rsidR="00966052">
              <w:rPr>
                <w:color w:val="000000"/>
                <w:szCs w:val="20"/>
                <w:lang w:eastAsia="da-DK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D32560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</w:t>
            </w:r>
            <w:r w:rsidR="00812DD1">
              <w:rPr>
                <w:color w:val="000000"/>
                <w:szCs w:val="20"/>
                <w:lang w:eastAsia="da-DK"/>
              </w:rPr>
              <w:t>,</w:t>
            </w:r>
            <w:r>
              <w:rPr>
                <w:color w:val="000000"/>
                <w:szCs w:val="20"/>
                <w:lang w:eastAsia="da-DK"/>
              </w:rPr>
              <w:t>3</w:t>
            </w:r>
            <w:r w:rsidR="00FB1BA8">
              <w:rPr>
                <w:color w:val="000000"/>
                <w:szCs w:val="20"/>
                <w:lang w:eastAsia="da-DK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D32560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4,3</w:t>
            </w:r>
            <w:r w:rsidR="00FB1BA8">
              <w:rPr>
                <w:color w:val="000000"/>
                <w:szCs w:val="20"/>
                <w:lang w:eastAsia="da-DK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D32560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4,3</w:t>
            </w:r>
            <w:r w:rsidR="00FB1BA8">
              <w:rPr>
                <w:color w:val="000000"/>
                <w:szCs w:val="20"/>
                <w:lang w:eastAsia="da-DK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D1" w:rsidRPr="009C2EB6" w:rsidRDefault="00812DD1" w:rsidP="00812DD1">
            <w:pPr>
              <w:jc w:val="right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 </w:t>
            </w:r>
          </w:p>
        </w:tc>
      </w:tr>
    </w:tbl>
    <w:p w:rsidR="00812DD1" w:rsidRDefault="00812DD1" w:rsidP="00812DD1"/>
    <w:tbl>
      <w:tblPr>
        <w:tblW w:w="124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95"/>
        <w:gridCol w:w="5956"/>
        <w:gridCol w:w="589"/>
        <w:gridCol w:w="1015"/>
        <w:gridCol w:w="1015"/>
        <w:gridCol w:w="160"/>
      </w:tblGrid>
      <w:tr w:rsidR="00F00BA2" w:rsidRPr="00210E64" w:rsidTr="00F00BA2">
        <w:trPr>
          <w:trHeight w:val="288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  <w:p w:rsidR="00F00BA2" w:rsidRPr="00210E64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  <w:r w:rsidRPr="00210E64">
              <w:rPr>
                <w:color w:val="000000"/>
                <w:szCs w:val="20"/>
                <w:u w:val="single"/>
                <w:lang w:eastAsia="da-DK"/>
              </w:rPr>
              <w:t>Finansiering af boligdel/servicedel: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  <w:p w:rsidR="00F00BA2" w:rsidRPr="00210E64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-6310"/>
              <w:rPr>
                <w:color w:val="000000"/>
                <w:szCs w:val="20"/>
                <w:u w:val="single"/>
                <w:lang w:eastAsia="da-DK"/>
              </w:rPr>
            </w:pPr>
          </w:p>
        </w:tc>
      </w:tr>
      <w:tr w:rsidR="00F00BA2" w:rsidRPr="009C2EB6" w:rsidTr="00F00BA2">
        <w:trPr>
          <w:gridAfter w:val="4"/>
          <w:wAfter w:w="2779" w:type="dxa"/>
          <w:trHeight w:val="288"/>
        </w:trPr>
        <w:tc>
          <w:tcPr>
            <w:tcW w:w="9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Default="00F00BA2" w:rsidP="00C508E0">
            <w:pPr>
              <w:ind w:right="-6310"/>
              <w:rPr>
                <w:color w:val="000000"/>
                <w:szCs w:val="20"/>
                <w:lang w:eastAsia="da-DK"/>
              </w:rPr>
            </w:pPr>
          </w:p>
          <w:p w:rsidR="00F00BA2" w:rsidRDefault="00F00BA2" w:rsidP="00F00BA2">
            <w:pPr>
              <w:ind w:right="-7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Byggeudgifterne på boligdelen </w:t>
            </w:r>
            <w:r w:rsidRPr="009C2EB6">
              <w:rPr>
                <w:color w:val="000000"/>
                <w:szCs w:val="20"/>
                <w:lang w:eastAsia="da-DK"/>
              </w:rPr>
              <w:t>finansieres midlertidigt af en byggekredit i år 2015.</w:t>
            </w:r>
          </w:p>
          <w:p w:rsidR="00F00BA2" w:rsidRPr="009C2EB6" w:rsidRDefault="00F00BA2" w:rsidP="00DD00F0">
            <w:pPr>
              <w:ind w:right="-7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Servicedel – indtægter kommer fra salg af </w:t>
            </w:r>
            <w:r w:rsidR="00DD00F0">
              <w:rPr>
                <w:color w:val="000000"/>
                <w:szCs w:val="20"/>
                <w:lang w:eastAsia="da-DK"/>
              </w:rPr>
              <w:t>boligarealer (-0,953 mio. kr.) samt servicearealtilskud (-0,240 mio. kr.). Såfre</w:t>
            </w:r>
            <w:r>
              <w:rPr>
                <w:color w:val="000000"/>
                <w:szCs w:val="20"/>
                <w:lang w:eastAsia="da-DK"/>
              </w:rPr>
              <w:t xml:space="preserve">mt boligerne anvendes som permanente boliger </w:t>
            </w:r>
            <w:r w:rsidR="0070707A">
              <w:rPr>
                <w:color w:val="000000"/>
                <w:szCs w:val="20"/>
                <w:lang w:eastAsia="da-DK"/>
              </w:rPr>
              <w:t>fragår</w:t>
            </w:r>
            <w:r>
              <w:rPr>
                <w:color w:val="000000"/>
                <w:szCs w:val="20"/>
                <w:lang w:eastAsia="da-DK"/>
              </w:rPr>
              <w:t xml:space="preserve"> </w:t>
            </w:r>
            <w:r w:rsidR="00DD00F0">
              <w:rPr>
                <w:color w:val="000000"/>
                <w:szCs w:val="20"/>
                <w:lang w:eastAsia="da-DK"/>
              </w:rPr>
              <w:t>0,191 mio. kr. i boligdelen vedr. beboerindskud.</w:t>
            </w:r>
            <w:r>
              <w:rPr>
                <w:color w:val="000000"/>
                <w:szCs w:val="20"/>
                <w:lang w:eastAsia="da-DK"/>
              </w:rPr>
              <w:t xml:space="preserve"> </w:t>
            </w:r>
          </w:p>
        </w:tc>
      </w:tr>
      <w:tr w:rsidR="00F00BA2" w:rsidRPr="009C2EB6" w:rsidTr="00F00BA2">
        <w:trPr>
          <w:trHeight w:val="288"/>
        </w:trPr>
        <w:tc>
          <w:tcPr>
            <w:tcW w:w="9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Default="00F00BA2" w:rsidP="00C508E0">
            <w:pPr>
              <w:ind w:right="-6310"/>
              <w:rPr>
                <w:color w:val="000000"/>
                <w:szCs w:val="20"/>
                <w:lang w:eastAsia="da-DK"/>
              </w:rPr>
            </w:pPr>
          </w:p>
          <w:p w:rsidR="00F00BA2" w:rsidRDefault="00F00BA2" w:rsidP="00C508E0">
            <w:pPr>
              <w:ind w:right="-6310"/>
              <w:rPr>
                <w:color w:val="000000"/>
                <w:szCs w:val="20"/>
                <w:lang w:eastAsia="da-DK"/>
              </w:rPr>
            </w:pPr>
            <w:r w:rsidRPr="009C2EB6">
              <w:rPr>
                <w:color w:val="000000"/>
                <w:szCs w:val="20"/>
                <w:lang w:eastAsia="da-DK"/>
              </w:rPr>
              <w:t>I år 2016 hjemtages et lån på -8,378 mio.</w:t>
            </w:r>
            <w:r>
              <w:rPr>
                <w:color w:val="000000"/>
                <w:szCs w:val="20"/>
                <w:lang w:eastAsia="da-DK"/>
              </w:rPr>
              <w:t xml:space="preserve"> </w:t>
            </w:r>
            <w:r w:rsidRPr="009C2EB6">
              <w:rPr>
                <w:color w:val="000000"/>
                <w:szCs w:val="20"/>
                <w:lang w:eastAsia="da-DK"/>
              </w:rPr>
              <w:t>kr.</w:t>
            </w:r>
            <w:r>
              <w:rPr>
                <w:color w:val="000000"/>
                <w:szCs w:val="20"/>
                <w:lang w:eastAsia="da-DK"/>
              </w:rPr>
              <w:t xml:space="preserve"> som optages i kommunekredit.</w:t>
            </w:r>
          </w:p>
          <w:p w:rsidR="00F00BA2" w:rsidRPr="009C2EB6" w:rsidRDefault="00F00BA2" w:rsidP="00C508E0">
            <w:pPr>
              <w:ind w:right="-631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Renter og afdrag finansieres af kommunekassen, så længe boligerne ikke udlejes.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9C2EB6" w:rsidRDefault="00F00BA2" w:rsidP="00C508E0">
            <w:pPr>
              <w:ind w:left="-9709" w:right="-6310"/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Som optages i kommunekredit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9C2EB6" w:rsidRDefault="00F00BA2" w:rsidP="00C508E0">
            <w:pPr>
              <w:ind w:left="-5641" w:right="-6310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9C2EB6" w:rsidRDefault="00F00BA2" w:rsidP="00C508E0">
            <w:pPr>
              <w:ind w:right="-6310"/>
              <w:rPr>
                <w:color w:val="000000"/>
                <w:szCs w:val="20"/>
                <w:lang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9C2EB6" w:rsidRDefault="00F00BA2" w:rsidP="00C508E0">
            <w:pPr>
              <w:ind w:right="-6310"/>
              <w:rPr>
                <w:color w:val="000000"/>
                <w:szCs w:val="20"/>
                <w:lang w:eastAsia="da-DK"/>
              </w:rPr>
            </w:pPr>
          </w:p>
        </w:tc>
      </w:tr>
    </w:tbl>
    <w:p w:rsidR="00F00BA2" w:rsidRDefault="00F00BA2" w:rsidP="00F00BA2"/>
    <w:tbl>
      <w:tblPr>
        <w:tblW w:w="11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95"/>
        <w:gridCol w:w="1015"/>
        <w:gridCol w:w="1015"/>
        <w:gridCol w:w="1015"/>
        <w:gridCol w:w="1015"/>
        <w:gridCol w:w="1896"/>
        <w:gridCol w:w="142"/>
        <w:gridCol w:w="873"/>
        <w:gridCol w:w="934"/>
      </w:tblGrid>
      <w:tr w:rsidR="00F00BA2" w:rsidRPr="00210E64" w:rsidTr="00C508E0">
        <w:trPr>
          <w:trHeight w:val="288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-6026"/>
              <w:rPr>
                <w:color w:val="000000"/>
                <w:szCs w:val="20"/>
                <w:u w:val="single"/>
                <w:lang w:eastAsia="da-DK"/>
              </w:rPr>
            </w:pPr>
            <w:r w:rsidRPr="00210E64">
              <w:rPr>
                <w:color w:val="000000"/>
                <w:szCs w:val="20"/>
                <w:u w:val="single"/>
                <w:lang w:eastAsia="da-DK"/>
              </w:rPr>
              <w:t>Finansiering af driftsudgifter: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210E64" w:rsidRDefault="00F00BA2" w:rsidP="00C508E0">
            <w:pPr>
              <w:ind w:right="856"/>
              <w:rPr>
                <w:color w:val="000000"/>
                <w:szCs w:val="20"/>
                <w:u w:val="single"/>
                <w:lang w:eastAsia="da-DK"/>
              </w:rPr>
            </w:pPr>
          </w:p>
        </w:tc>
      </w:tr>
      <w:tr w:rsidR="00DD00F0" w:rsidRPr="009C2EB6" w:rsidTr="000E5FE4">
        <w:trPr>
          <w:gridAfter w:val="2"/>
          <w:wAfter w:w="1807" w:type="dxa"/>
          <w:trHeight w:val="288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0F0" w:rsidRDefault="00DD00F0" w:rsidP="000E5FE4">
            <w:pPr>
              <w:ind w:right="1595"/>
              <w:rPr>
                <w:color w:val="000000"/>
                <w:szCs w:val="20"/>
                <w:lang w:eastAsia="da-DK"/>
              </w:rPr>
            </w:pPr>
          </w:p>
          <w:p w:rsidR="00312D9A" w:rsidRPr="009C2EB6" w:rsidRDefault="00022567" w:rsidP="00312D9A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>Huslejen forventes at udgøre 0,394 mio. kr./år for de 6 boliger</w:t>
            </w:r>
            <w:r w:rsidR="00312D9A">
              <w:rPr>
                <w:color w:val="000000"/>
                <w:szCs w:val="20"/>
                <w:lang w:eastAsia="da-DK"/>
              </w:rPr>
              <w:t xml:space="preserve"> (beboernes udgift, indgår i finansiering)</w:t>
            </w:r>
            <w:r>
              <w:rPr>
                <w:color w:val="000000"/>
                <w:szCs w:val="20"/>
                <w:lang w:eastAsia="da-DK"/>
              </w:rPr>
              <w:t xml:space="preserve">. Hertil kommer årlige forbrugsudgifter, der antages at udgøre 0,053 mio. kr. </w:t>
            </w:r>
            <w:r w:rsidR="00312D9A">
              <w:rPr>
                <w:color w:val="000000"/>
                <w:szCs w:val="20"/>
                <w:lang w:eastAsia="da-DK"/>
              </w:rPr>
              <w:t xml:space="preserve">(beboernes udgift). </w:t>
            </w:r>
          </w:p>
        </w:tc>
      </w:tr>
      <w:tr w:rsidR="00F00BA2" w:rsidRPr="009C2EB6" w:rsidTr="00C508E0">
        <w:trPr>
          <w:gridAfter w:val="2"/>
          <w:wAfter w:w="1807" w:type="dxa"/>
          <w:trHeight w:val="288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Pr="009C2EB6" w:rsidRDefault="00F00BA2" w:rsidP="00DD00F0">
            <w:pPr>
              <w:rPr>
                <w:color w:val="000000"/>
                <w:szCs w:val="20"/>
                <w:lang w:eastAsia="da-DK"/>
              </w:rPr>
            </w:pPr>
          </w:p>
        </w:tc>
      </w:tr>
      <w:tr w:rsidR="00F00BA2" w:rsidRPr="009C2EB6" w:rsidTr="00C508E0">
        <w:trPr>
          <w:gridAfter w:val="2"/>
          <w:wAfter w:w="1807" w:type="dxa"/>
          <w:trHeight w:val="288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A2" w:rsidRDefault="00F00BA2" w:rsidP="00C508E0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Driftsudgifter vedr. plejepersonale, afledte personaleudgifter, rengøring mv. </w:t>
            </w:r>
            <w:r w:rsidRPr="009C2EB6">
              <w:rPr>
                <w:color w:val="000000"/>
                <w:szCs w:val="20"/>
                <w:lang w:eastAsia="da-DK"/>
              </w:rPr>
              <w:t xml:space="preserve">forventes </w:t>
            </w:r>
            <w:r>
              <w:rPr>
                <w:color w:val="000000"/>
                <w:szCs w:val="20"/>
                <w:lang w:eastAsia="da-DK"/>
              </w:rPr>
              <w:t>årligt at udgøre ca. 4,</w:t>
            </w:r>
            <w:r w:rsidR="00022567">
              <w:rPr>
                <w:color w:val="000000"/>
                <w:szCs w:val="20"/>
                <w:lang w:eastAsia="da-DK"/>
              </w:rPr>
              <w:t>353</w:t>
            </w:r>
            <w:r>
              <w:rPr>
                <w:color w:val="000000"/>
                <w:szCs w:val="20"/>
                <w:lang w:eastAsia="da-DK"/>
              </w:rPr>
              <w:t xml:space="preserve"> mio. kr. </w:t>
            </w:r>
          </w:p>
          <w:p w:rsidR="00F00BA2" w:rsidRDefault="00F00BA2" w:rsidP="00C508E0">
            <w:pPr>
              <w:ind w:right="856"/>
              <w:rPr>
                <w:color w:val="000000"/>
                <w:szCs w:val="20"/>
                <w:lang w:eastAsia="da-DK"/>
              </w:rPr>
            </w:pPr>
          </w:p>
          <w:p w:rsidR="00F00BA2" w:rsidRPr="009C2EB6" w:rsidRDefault="00F00BA2" w:rsidP="00C508E0">
            <w:pPr>
              <w:rPr>
                <w:color w:val="000000"/>
                <w:szCs w:val="20"/>
                <w:lang w:eastAsia="da-DK"/>
              </w:rPr>
            </w:pPr>
            <w:r>
              <w:rPr>
                <w:color w:val="000000"/>
                <w:szCs w:val="20"/>
                <w:lang w:eastAsia="da-DK"/>
              </w:rPr>
              <w:t xml:space="preserve">Driftsudgiften </w:t>
            </w:r>
            <w:r w:rsidR="00022567">
              <w:rPr>
                <w:color w:val="000000"/>
                <w:szCs w:val="20"/>
                <w:lang w:eastAsia="da-DK"/>
              </w:rPr>
              <w:t>på ca. 2,539</w:t>
            </w:r>
            <w:r w:rsidR="00DD00F0">
              <w:rPr>
                <w:color w:val="000000"/>
                <w:szCs w:val="20"/>
                <w:lang w:eastAsia="da-DK"/>
              </w:rPr>
              <w:t xml:space="preserve"> mio. kr. </w:t>
            </w:r>
            <w:r>
              <w:rPr>
                <w:color w:val="000000"/>
                <w:szCs w:val="20"/>
                <w:lang w:eastAsia="da-DK"/>
              </w:rPr>
              <w:t xml:space="preserve">i 2016 (drift fra 1. juni 2016) finansieres af spar år 2014 fra Pleje. </w:t>
            </w:r>
            <w:r w:rsidR="00022567">
              <w:rPr>
                <w:color w:val="000000"/>
                <w:szCs w:val="20"/>
                <w:lang w:eastAsia="da-DK"/>
              </w:rPr>
              <w:t>Den årlige drift på 4,353</w:t>
            </w:r>
            <w:r>
              <w:rPr>
                <w:color w:val="000000"/>
                <w:szCs w:val="20"/>
                <w:lang w:eastAsia="da-DK"/>
              </w:rPr>
              <w:t xml:space="preserve"> mio. kr.</w:t>
            </w:r>
            <w:r w:rsidRPr="009C2EB6">
              <w:rPr>
                <w:color w:val="000000"/>
                <w:szCs w:val="20"/>
                <w:lang w:eastAsia="da-DK"/>
              </w:rPr>
              <w:t xml:space="preserve"> fra år 2017 skal finansieres af kommunekassen eller indgå i budgetlægningen for år 2016-2019.</w:t>
            </w:r>
          </w:p>
        </w:tc>
      </w:tr>
    </w:tbl>
    <w:p w:rsidR="00F00BA2" w:rsidRDefault="00F00BA2" w:rsidP="00F00BA2"/>
    <w:p w:rsidR="0012601A" w:rsidRDefault="0012601A">
      <w:r>
        <w:t>Økonomi 5/2 2015</w:t>
      </w:r>
    </w:p>
    <w:sectPr w:rsidR="0012601A" w:rsidSect="00F00BA2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74A10"/>
    <w:rsid w:val="00022567"/>
    <w:rsid w:val="000277F2"/>
    <w:rsid w:val="00112B46"/>
    <w:rsid w:val="0012601A"/>
    <w:rsid w:val="00161B10"/>
    <w:rsid w:val="0016391C"/>
    <w:rsid w:val="001A1789"/>
    <w:rsid w:val="00210E64"/>
    <w:rsid w:val="00216DDB"/>
    <w:rsid w:val="002C5989"/>
    <w:rsid w:val="00312D9A"/>
    <w:rsid w:val="00456A06"/>
    <w:rsid w:val="004D66ED"/>
    <w:rsid w:val="004F716E"/>
    <w:rsid w:val="00505216"/>
    <w:rsid w:val="005F0CE5"/>
    <w:rsid w:val="00660083"/>
    <w:rsid w:val="006B3A87"/>
    <w:rsid w:val="0070707A"/>
    <w:rsid w:val="00721660"/>
    <w:rsid w:val="00731372"/>
    <w:rsid w:val="00744377"/>
    <w:rsid w:val="00812DD1"/>
    <w:rsid w:val="00822FAE"/>
    <w:rsid w:val="00825C6B"/>
    <w:rsid w:val="00872986"/>
    <w:rsid w:val="00880250"/>
    <w:rsid w:val="009237C5"/>
    <w:rsid w:val="00966052"/>
    <w:rsid w:val="009874D4"/>
    <w:rsid w:val="00994053"/>
    <w:rsid w:val="009C2EB6"/>
    <w:rsid w:val="009D3B2C"/>
    <w:rsid w:val="009E535F"/>
    <w:rsid w:val="009F0E96"/>
    <w:rsid w:val="00A82907"/>
    <w:rsid w:val="00A95F29"/>
    <w:rsid w:val="00AA2284"/>
    <w:rsid w:val="00BC5FD5"/>
    <w:rsid w:val="00C947E6"/>
    <w:rsid w:val="00CE2D15"/>
    <w:rsid w:val="00D32560"/>
    <w:rsid w:val="00D46FA2"/>
    <w:rsid w:val="00D74A10"/>
    <w:rsid w:val="00DA1E85"/>
    <w:rsid w:val="00DC012E"/>
    <w:rsid w:val="00DD00F0"/>
    <w:rsid w:val="00E51A4B"/>
    <w:rsid w:val="00E64C26"/>
    <w:rsid w:val="00F00BA2"/>
    <w:rsid w:val="00F34A99"/>
    <w:rsid w:val="00F403A6"/>
    <w:rsid w:val="00F847F3"/>
    <w:rsid w:val="00FB1BA8"/>
    <w:rsid w:val="00FB3BB0"/>
    <w:rsid w:val="00FD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10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B9871C1DC2014E98A56105B67CBA09" ma:contentTypeVersion="0" ma:contentTypeDescription="Opret et nyt dokument." ma:contentTypeScope="" ma:versionID="0d4b3b321e179a59752ab7a52af3ea86">
  <xsd:schema xmlns:xsd="http://www.w3.org/2001/XMLSchema" xmlns:p="http://schemas.microsoft.com/office/2006/metadata/properties" targetNamespace="http://schemas.microsoft.com/office/2006/metadata/properties" ma:root="true" ma:fieldsID="e3fb1237b4dad371145c6041468c35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82F8-A088-4952-9551-F0D420ADF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97E3F-08E3-4CF0-AF6C-CCC319C62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8B2C1C-9CB2-46B5-86A7-2BFABCD8712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BF69D5-45F9-4984-A62D-41E4CE94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Blirup</dc:creator>
  <cp:lastModifiedBy>Hanne Bylov</cp:lastModifiedBy>
  <cp:revision>13</cp:revision>
  <cp:lastPrinted>2015-02-05T10:52:00Z</cp:lastPrinted>
  <dcterms:created xsi:type="dcterms:W3CDTF">2015-02-04T08:25:00Z</dcterms:created>
  <dcterms:modified xsi:type="dcterms:W3CDTF">2015-02-05T12:15:00Z</dcterms:modified>
</cp:coreProperties>
</file>