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BD" w:rsidRPr="00EB7568" w:rsidRDefault="0014405C" w:rsidP="000326BD">
      <w:pPr>
        <w:pStyle w:val="Indholdsfortegnelse1"/>
        <w:tabs>
          <w:tab w:val="clear" w:pos="9071"/>
        </w:tabs>
        <w:spacing w:before="60" w:line="276" w:lineRule="auto"/>
        <w:ind w:left="0"/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3.95pt;margin-top:16.3pt;width:236.25pt;height:78pt;z-index:251658240" filled="f" stroked="f">
            <v:textbox style="mso-next-textbox:#_x0000_s1031">
              <w:txbxContent>
                <w:p w:rsidR="001A147F" w:rsidRPr="009408F9" w:rsidRDefault="001A147F" w:rsidP="000326BD">
                  <w:pPr>
                    <w:jc w:val="right"/>
                    <w:rPr>
                      <w:sz w:val="18"/>
                    </w:rPr>
                  </w:pPr>
                </w:p>
                <w:p w:rsidR="001A147F" w:rsidRPr="00E602AD" w:rsidRDefault="001A147F" w:rsidP="000326BD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b/>
                      <w:sz w:val="16"/>
                      <w:szCs w:val="16"/>
                    </w:rPr>
                    <w:t>Teknik &amp; Miljø</w:t>
                  </w:r>
                </w:p>
                <w:p w:rsidR="001A147F" w:rsidRPr="00E602AD" w:rsidRDefault="001A147F" w:rsidP="000326BD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13. april</w:t>
                  </w: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 xml:space="preserve"> 2016</w:t>
                  </w:r>
                </w:p>
                <w:p w:rsidR="001A147F" w:rsidRPr="00E602AD" w:rsidRDefault="001A147F" w:rsidP="000326BD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Sags-ID</w:t>
                  </w:r>
                  <w:proofErr w:type="spellEnd"/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: 15/550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1A147F" w:rsidRPr="00E602AD" w:rsidRDefault="001A147F" w:rsidP="000326BD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Sagsbehandler:</w:t>
                  </w:r>
                </w:p>
                <w:p w:rsidR="001A147F" w:rsidRPr="00E602AD" w:rsidRDefault="001A147F" w:rsidP="000326BD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Eszter Knoll Andersen</w:t>
                  </w:r>
                </w:p>
              </w:txbxContent>
            </v:textbox>
          </v:shape>
        </w:pict>
      </w:r>
      <w:r w:rsidR="000326BD" w:rsidRPr="00EB7568">
        <w:rPr>
          <w:noProof/>
          <w:lang w:eastAsia="da-DK"/>
        </w:rPr>
        <w:drawing>
          <wp:inline distT="0" distB="0" distL="0" distR="0">
            <wp:extent cx="6134100" cy="704850"/>
            <wp:effectExtent l="19050" t="0" r="0" b="0"/>
            <wp:docPr id="1" name="Billede 1" descr="C:\Users\teto\Desktop\fa_logo1_17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o\Desktop\fa_logo1_170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BD" w:rsidRPr="00EB7568" w:rsidRDefault="000326BD" w:rsidP="000326BD">
      <w:pPr>
        <w:spacing w:line="276" w:lineRule="auto"/>
        <w:ind w:left="0"/>
      </w:pPr>
    </w:p>
    <w:p w:rsidR="000326BD" w:rsidRPr="00EB7568" w:rsidRDefault="000326BD" w:rsidP="000326BD">
      <w:pPr>
        <w:spacing w:line="276" w:lineRule="auto"/>
      </w:pPr>
    </w:p>
    <w:p w:rsidR="000326BD" w:rsidRPr="00EB7568" w:rsidRDefault="000326BD" w:rsidP="000326BD">
      <w:pPr>
        <w:spacing w:line="276" w:lineRule="auto"/>
        <w:ind w:left="0"/>
        <w:rPr>
          <w:rFonts w:ascii="Verdana" w:hAnsi="Verdana"/>
          <w:b/>
        </w:rPr>
      </w:pPr>
    </w:p>
    <w:p w:rsidR="000326BD" w:rsidRPr="00EB7568" w:rsidRDefault="000326BD" w:rsidP="000326BD">
      <w:pPr>
        <w:spacing w:line="276" w:lineRule="auto"/>
        <w:ind w:left="0"/>
        <w:rPr>
          <w:rFonts w:ascii="Verdana" w:hAnsi="Verdana"/>
          <w:b/>
          <w:sz w:val="22"/>
          <w:szCs w:val="22"/>
        </w:rPr>
      </w:pPr>
      <w:r w:rsidRPr="00EB7568">
        <w:rPr>
          <w:rFonts w:ascii="Verdana" w:hAnsi="Verdana"/>
          <w:b/>
          <w:sz w:val="22"/>
          <w:szCs w:val="22"/>
        </w:rPr>
        <w:t>INDSIGELSESNOTAT - Lokalplan 321 – Erhverv nordvest for Indre Ringvej / Vesterbrogade</w:t>
      </w:r>
    </w:p>
    <w:p w:rsidR="000326BD" w:rsidRPr="00EB7568" w:rsidRDefault="000326BD" w:rsidP="000326BD">
      <w:pPr>
        <w:spacing w:line="276" w:lineRule="auto"/>
        <w:ind w:left="0"/>
        <w:rPr>
          <w:rFonts w:ascii="Verdana" w:hAnsi="Verdana"/>
          <w:sz w:val="20"/>
        </w:rPr>
      </w:pPr>
    </w:p>
    <w:p w:rsidR="000326BD" w:rsidRPr="00EB7568" w:rsidRDefault="000326BD" w:rsidP="000326BD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  <w:r w:rsidRPr="00EB7568">
        <w:rPr>
          <w:rFonts w:ascii="Verdana" w:hAnsi="Verdana"/>
          <w:sz w:val="18"/>
          <w:szCs w:val="18"/>
        </w:rPr>
        <w:t>Notatet indeholder et resumé af de bemærkninger</w:t>
      </w:r>
      <w:r w:rsidR="00A23E18">
        <w:rPr>
          <w:rFonts w:ascii="Verdana" w:hAnsi="Verdana"/>
          <w:sz w:val="18"/>
          <w:szCs w:val="18"/>
        </w:rPr>
        <w:t>,</w:t>
      </w:r>
      <w:r w:rsidRPr="00EB7568">
        <w:rPr>
          <w:rFonts w:ascii="Verdana" w:hAnsi="Verdana"/>
          <w:sz w:val="18"/>
          <w:szCs w:val="18"/>
        </w:rPr>
        <w:t xml:space="preserve"> der er indkommet i forbindelse med offentliggørelsen af Forslag til Lokalplan 321 – Erhverv nordvest for Indre Ringvej / Vesterbrogade</w:t>
      </w:r>
      <w:r w:rsidR="00A23E18">
        <w:rPr>
          <w:rFonts w:ascii="Verdana" w:hAnsi="Verdana"/>
          <w:sz w:val="18"/>
          <w:szCs w:val="18"/>
        </w:rPr>
        <w:t xml:space="preserve">. </w:t>
      </w:r>
      <w:r w:rsidRPr="00EB7568">
        <w:rPr>
          <w:rFonts w:ascii="Verdana" w:hAnsi="Verdana"/>
          <w:sz w:val="18"/>
          <w:szCs w:val="18"/>
        </w:rPr>
        <w:t>Planforslaget har været i høring i perioden fra den 10. februar til den 6. apri</w:t>
      </w:r>
      <w:r w:rsidR="00A23E18">
        <w:rPr>
          <w:rFonts w:ascii="Verdana" w:hAnsi="Verdana"/>
          <w:sz w:val="18"/>
          <w:szCs w:val="18"/>
        </w:rPr>
        <w:t>l 2016. Der er indkommet</w:t>
      </w:r>
      <w:r w:rsidRPr="00EB7568">
        <w:rPr>
          <w:rFonts w:ascii="Verdana" w:hAnsi="Verdana"/>
          <w:sz w:val="18"/>
          <w:szCs w:val="18"/>
        </w:rPr>
        <w:t xml:space="preserve"> </w:t>
      </w:r>
      <w:r w:rsidRPr="00EB7568">
        <w:rPr>
          <w:rFonts w:ascii="Verdana" w:hAnsi="Verdana"/>
          <w:color w:val="000000" w:themeColor="text1"/>
          <w:sz w:val="18"/>
          <w:szCs w:val="18"/>
        </w:rPr>
        <w:t>tre</w:t>
      </w:r>
      <w:r w:rsidRPr="00EB7568">
        <w:rPr>
          <w:rFonts w:ascii="Verdana" w:hAnsi="Verdana"/>
          <w:sz w:val="18"/>
          <w:szCs w:val="18"/>
        </w:rPr>
        <w:t xml:space="preserve"> henvendelser:</w:t>
      </w:r>
    </w:p>
    <w:p w:rsidR="000326BD" w:rsidRPr="00EB7568" w:rsidRDefault="000326BD" w:rsidP="000326BD">
      <w:pPr>
        <w:pStyle w:val="Listeafsnit"/>
        <w:spacing w:line="276" w:lineRule="auto"/>
        <w:ind w:right="-227"/>
        <w:rPr>
          <w:rFonts w:ascii="Verdana" w:hAnsi="Verdana"/>
          <w:sz w:val="18"/>
          <w:szCs w:val="18"/>
        </w:rPr>
      </w:pPr>
    </w:p>
    <w:p w:rsidR="000326BD" w:rsidRPr="00EB7568" w:rsidRDefault="000326BD" w:rsidP="000326BD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r w:rsidRPr="00EB7568">
        <w:rPr>
          <w:rFonts w:ascii="Verdana" w:hAnsi="Verdana"/>
          <w:sz w:val="18"/>
          <w:szCs w:val="18"/>
        </w:rPr>
        <w:t xml:space="preserve">Underskriftsindsamling, Ulla og Peter </w:t>
      </w:r>
      <w:proofErr w:type="spellStart"/>
      <w:r w:rsidRPr="00EB7568">
        <w:rPr>
          <w:rFonts w:ascii="Verdana" w:hAnsi="Verdana"/>
          <w:sz w:val="18"/>
          <w:szCs w:val="18"/>
        </w:rPr>
        <w:t>Ladeby</w:t>
      </w:r>
      <w:proofErr w:type="spellEnd"/>
      <w:r w:rsidRPr="00EB7568">
        <w:rPr>
          <w:rFonts w:ascii="Verdana" w:hAnsi="Verdana"/>
          <w:sz w:val="18"/>
          <w:szCs w:val="18"/>
        </w:rPr>
        <w:t>, Ansgarsvej 5, 7000 Fredericia</w:t>
      </w:r>
    </w:p>
    <w:p w:rsidR="000326BD" w:rsidRPr="00EB7568" w:rsidRDefault="000326BD" w:rsidP="000326BD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r w:rsidRPr="00EB7568">
        <w:rPr>
          <w:rFonts w:ascii="Verdana" w:hAnsi="Verdana"/>
          <w:sz w:val="18"/>
          <w:szCs w:val="18"/>
        </w:rPr>
        <w:t xml:space="preserve">dansk </w:t>
      </w:r>
      <w:proofErr w:type="spellStart"/>
      <w:r w:rsidRPr="00EB7568">
        <w:rPr>
          <w:rFonts w:ascii="Verdana" w:hAnsi="Verdana"/>
          <w:sz w:val="18"/>
          <w:szCs w:val="18"/>
        </w:rPr>
        <w:t>development</w:t>
      </w:r>
      <w:proofErr w:type="spellEnd"/>
      <w:r w:rsidRPr="00EB7568">
        <w:rPr>
          <w:rFonts w:ascii="Verdana" w:hAnsi="Verdana"/>
          <w:sz w:val="18"/>
          <w:szCs w:val="18"/>
        </w:rPr>
        <w:t xml:space="preserve"> a/s, Morten Juul Hansen, Dosseringen 10, 2. sal, 5300 Kerteminde, mjh@danskdevelopment.dk, </w:t>
      </w:r>
      <w:r w:rsidRPr="00EB7568">
        <w:rPr>
          <w:rFonts w:ascii="Verdana" w:hAnsi="Verdana"/>
          <w:spacing w:val="13"/>
          <w:sz w:val="18"/>
          <w:szCs w:val="18"/>
        </w:rPr>
        <w:t>61 33 70 80</w:t>
      </w:r>
      <w:r w:rsidRPr="00EB7568">
        <w:rPr>
          <w:rFonts w:ascii="Verdana" w:hAnsi="Verdana"/>
          <w:sz w:val="18"/>
          <w:szCs w:val="18"/>
        </w:rPr>
        <w:t xml:space="preserve"> </w:t>
      </w:r>
    </w:p>
    <w:p w:rsidR="000326BD" w:rsidRPr="00EB7568" w:rsidRDefault="000326BD" w:rsidP="000326BD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proofErr w:type="spellStart"/>
      <w:r w:rsidRPr="00EB7568">
        <w:rPr>
          <w:rFonts w:ascii="Verdana" w:hAnsi="Verdana"/>
          <w:sz w:val="18"/>
          <w:szCs w:val="18"/>
        </w:rPr>
        <w:t>BaneDanmark</w:t>
      </w:r>
      <w:proofErr w:type="spellEnd"/>
      <w:r w:rsidRPr="00EB7568">
        <w:rPr>
          <w:rFonts w:ascii="Verdana" w:hAnsi="Verdana"/>
          <w:sz w:val="18"/>
          <w:szCs w:val="18"/>
        </w:rPr>
        <w:t xml:space="preserve">, Stine Hansen, </w:t>
      </w:r>
      <w:proofErr w:type="spellStart"/>
      <w:r w:rsidRPr="00EB7568">
        <w:rPr>
          <w:rFonts w:ascii="Verdana" w:hAnsi="Verdana"/>
          <w:sz w:val="18"/>
          <w:szCs w:val="18"/>
        </w:rPr>
        <w:t>Lumbyesvej</w:t>
      </w:r>
      <w:proofErr w:type="spellEnd"/>
      <w:r w:rsidRPr="00EB7568">
        <w:rPr>
          <w:rFonts w:ascii="Verdana" w:hAnsi="Verdana"/>
          <w:sz w:val="18"/>
          <w:szCs w:val="18"/>
        </w:rPr>
        <w:t xml:space="preserve"> 34, 7000 Fredericia, stha@</w:t>
      </w:r>
      <w:r>
        <w:rPr>
          <w:rFonts w:ascii="Verdana" w:hAnsi="Verdana"/>
          <w:sz w:val="18"/>
          <w:szCs w:val="18"/>
        </w:rPr>
        <w:t>b</w:t>
      </w:r>
      <w:r w:rsidRPr="00EB7568">
        <w:rPr>
          <w:rFonts w:ascii="Verdana" w:hAnsi="Verdana"/>
          <w:sz w:val="18"/>
          <w:szCs w:val="18"/>
        </w:rPr>
        <w:t xml:space="preserve">ane.dk, </w:t>
      </w:r>
      <w:r w:rsidRPr="00EB7568">
        <w:rPr>
          <w:rFonts w:ascii="Verdana" w:hAnsi="Verdana"/>
          <w:sz w:val="18"/>
          <w:szCs w:val="18"/>
          <w:lang w:eastAsia="da-DK"/>
        </w:rPr>
        <w:t>82 27 20 22</w:t>
      </w:r>
    </w:p>
    <w:p w:rsidR="000326BD" w:rsidRPr="00EB7568" w:rsidRDefault="000326BD" w:rsidP="000326BD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r w:rsidRPr="00EB7568">
        <w:rPr>
          <w:rFonts w:ascii="Verdana" w:hAnsi="Verdana"/>
          <w:sz w:val="18"/>
          <w:szCs w:val="18"/>
          <w:lang w:eastAsia="da-DK"/>
        </w:rPr>
        <w:t>Redaktionelle rettelser, Teknik &amp; Miljø, Fredericia Kommune</w:t>
      </w:r>
    </w:p>
    <w:p w:rsidR="000326BD" w:rsidRPr="00EB7568" w:rsidRDefault="000326BD" w:rsidP="000326BD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</w:p>
    <w:p w:rsidR="000326BD" w:rsidRPr="00EB7568" w:rsidRDefault="000326BD" w:rsidP="000326BD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  <w:r w:rsidRPr="00EB7568">
        <w:rPr>
          <w:rFonts w:ascii="Verdana" w:hAnsi="Verdana"/>
          <w:sz w:val="18"/>
          <w:szCs w:val="18"/>
        </w:rPr>
        <w:t>Skemaet er suppleret med administrationens indstilling til hver enkelt bemærkning.</w:t>
      </w:r>
    </w:p>
    <w:p w:rsidR="000326BD" w:rsidRPr="00EB7568" w:rsidRDefault="000326BD" w:rsidP="000326BD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Ind w:w="142" w:type="dxa"/>
        <w:tblLayout w:type="fixed"/>
        <w:tblLook w:val="04A0"/>
      </w:tblPr>
      <w:tblGrid>
        <w:gridCol w:w="1951"/>
        <w:gridCol w:w="4961"/>
        <w:gridCol w:w="4992"/>
        <w:gridCol w:w="2735"/>
      </w:tblGrid>
      <w:tr w:rsidR="000326BD" w:rsidRPr="00EB7568" w:rsidTr="001A147F">
        <w:tc>
          <w:tcPr>
            <w:tcW w:w="1951" w:type="dxa"/>
            <w:shd w:val="clear" w:color="auto" w:fill="1F497D" w:themeFill="text2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Afsender / Dato</w:t>
            </w:r>
          </w:p>
        </w:tc>
        <w:tc>
          <w:tcPr>
            <w:tcW w:w="4961" w:type="dxa"/>
            <w:shd w:val="clear" w:color="auto" w:fill="1F497D" w:themeFill="text2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Bemærkninger og indsigelser (resumé)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92" w:type="dxa"/>
            <w:shd w:val="clear" w:color="auto" w:fill="1F497D" w:themeFill="text2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Vurdering</w:t>
            </w:r>
          </w:p>
        </w:tc>
        <w:tc>
          <w:tcPr>
            <w:tcW w:w="2735" w:type="dxa"/>
            <w:shd w:val="clear" w:color="auto" w:fill="1F497D" w:themeFill="text2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Indstilling</w:t>
            </w:r>
          </w:p>
        </w:tc>
      </w:tr>
      <w:tr w:rsidR="00DC10A0" w:rsidRPr="00EB7568" w:rsidTr="001A147F">
        <w:tc>
          <w:tcPr>
            <w:tcW w:w="1951" w:type="dxa"/>
            <w:vMerge w:val="restart"/>
          </w:tcPr>
          <w:p w:rsidR="00DC10A0" w:rsidRPr="00EB7568" w:rsidRDefault="00DC10A0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t xml:space="preserve">1 - Ulla og Peter </w:t>
            </w:r>
            <w:proofErr w:type="spellStart"/>
            <w:r w:rsidRPr="00EB7568">
              <w:rPr>
                <w:rFonts w:ascii="Verdana" w:hAnsi="Verdana"/>
                <w:b/>
                <w:sz w:val="18"/>
                <w:szCs w:val="18"/>
              </w:rPr>
              <w:t>Ladeby</w:t>
            </w:r>
            <w:proofErr w:type="spellEnd"/>
            <w:r w:rsidRPr="00EB7568">
              <w:rPr>
                <w:rFonts w:ascii="Verdana" w:hAnsi="Verdana"/>
                <w:b/>
                <w:sz w:val="18"/>
                <w:szCs w:val="18"/>
              </w:rPr>
              <w:t xml:space="preserve"> samt underskriftsin</w:t>
            </w:r>
            <w:r w:rsidRPr="00EB7568"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EB7568">
              <w:rPr>
                <w:rFonts w:ascii="Verdana" w:hAnsi="Verdana"/>
                <w:b/>
                <w:sz w:val="18"/>
                <w:szCs w:val="18"/>
              </w:rPr>
              <w:t>samling</w:t>
            </w:r>
          </w:p>
          <w:p w:rsidR="00DC10A0" w:rsidRPr="00EB7568" w:rsidRDefault="00DC10A0" w:rsidP="001A147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DC10A0" w:rsidRPr="00EB7568" w:rsidRDefault="00DC10A0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t>31. marts 2016</w:t>
            </w:r>
          </w:p>
        </w:tc>
        <w:tc>
          <w:tcPr>
            <w:tcW w:w="4961" w:type="dxa"/>
          </w:tcPr>
          <w:p w:rsidR="00DC10A0" w:rsidRPr="00EB7568" w:rsidRDefault="00DC10A0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Indsigelse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fra beboere på Ansgarsvej 5-21, </w:t>
            </w:r>
            <w:r w:rsidRPr="00EB7568">
              <w:rPr>
                <w:rFonts w:ascii="Verdana" w:hAnsi="Verdana"/>
                <w:i/>
                <w:sz w:val="18"/>
                <w:szCs w:val="18"/>
              </w:rPr>
              <w:t>31-33 og Vesterbrogade 48</w:t>
            </w:r>
          </w:p>
          <w:p w:rsidR="00DC10A0" w:rsidRPr="00EB7568" w:rsidRDefault="00DC10A0" w:rsidP="001A147F">
            <w:p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:rsidR="00DC10A0" w:rsidRPr="00EB7568" w:rsidRDefault="00DC10A0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Beboerne ønsker ikke en ekstra dagligvarebutik i umiddelbar nærhed af boligerne, begrundet i:</w:t>
            </w:r>
          </w:p>
          <w:p w:rsidR="00DC10A0" w:rsidRPr="00EB7568" w:rsidRDefault="00DC10A0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27" w:type="dxa"/>
            <w:gridSpan w:val="2"/>
          </w:tcPr>
          <w:p w:rsidR="00DC10A0" w:rsidRPr="00EB7568" w:rsidRDefault="00DC10A0" w:rsidP="001A147F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Støj: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Støj aften, dag og nat fra trafik, varelevering, ve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>tilation og gøende hunde herunder specielt fra var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levering og ventilation i aften- og nattetimer er til gene.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  <w:lang w:eastAsia="da-DK"/>
              </w:rPr>
              <w:t>Teknik &amp; Miljø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vurderer med hensyn støj: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Der er udført en støjredegørelse for projektet, hvori der redegøres for dag-, aften- og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natperioden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>. Te</w:t>
            </w:r>
            <w:r w:rsidRPr="00EB7568">
              <w:rPr>
                <w:rFonts w:ascii="Verdana" w:hAnsi="Verdana"/>
                <w:sz w:val="18"/>
                <w:szCs w:val="18"/>
              </w:rPr>
              <w:t>k</w:t>
            </w:r>
            <w:r w:rsidRPr="00EB7568">
              <w:rPr>
                <w:rFonts w:ascii="Verdana" w:hAnsi="Verdana"/>
                <w:sz w:val="18"/>
                <w:szCs w:val="18"/>
              </w:rPr>
              <w:t>nik &amp; Miljø vurderer på denne baggrund, at stø</w:t>
            </w:r>
            <w:r w:rsidRPr="00EB7568">
              <w:rPr>
                <w:rFonts w:ascii="Verdana" w:hAnsi="Verdana"/>
                <w:sz w:val="18"/>
                <w:szCs w:val="18"/>
              </w:rPr>
              <w:t>j</w:t>
            </w:r>
            <w:r w:rsidRPr="00EB7568">
              <w:rPr>
                <w:rFonts w:ascii="Verdana" w:hAnsi="Verdana"/>
                <w:sz w:val="18"/>
                <w:szCs w:val="18"/>
              </w:rPr>
              <w:t>grænserne ved boligerne på Ansgarsvej vil være overholdt for så vidt angår projektet i lokalplan 321, når det sikres at:</w:t>
            </w:r>
          </w:p>
          <w:p w:rsidR="000326BD" w:rsidRPr="00EB7568" w:rsidRDefault="000326BD" w:rsidP="001A147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0326BD">
            <w:pPr>
              <w:pStyle w:val="Listeafsnit"/>
              <w:numPr>
                <w:ilvl w:val="0"/>
                <w:numId w:val="44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 xml:space="preserve">lastbilernes køleanlæg og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bakhorn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ikke er i drift under vareleveringen</w:t>
            </w:r>
          </w:p>
          <w:p w:rsidR="000326BD" w:rsidRPr="00EB7568" w:rsidRDefault="000326BD" w:rsidP="000326BD">
            <w:pPr>
              <w:pStyle w:val="Listeafsnit"/>
              <w:numPr>
                <w:ilvl w:val="0"/>
                <w:numId w:val="44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der sættes støjkrav til leverandør </w:t>
            </w:r>
            <w:r w:rsidR="00A23E18">
              <w:rPr>
                <w:rFonts w:ascii="Verdana" w:hAnsi="Verdana"/>
                <w:sz w:val="18"/>
                <w:szCs w:val="18"/>
              </w:rPr>
              <w:t>af køle og ventilationssystemer</w:t>
            </w:r>
          </w:p>
          <w:p w:rsidR="000326BD" w:rsidRPr="00EB7568" w:rsidRDefault="000326BD" w:rsidP="000326BD">
            <w:pPr>
              <w:pStyle w:val="Listeafsnit"/>
              <w:numPr>
                <w:ilvl w:val="0"/>
                <w:numId w:val="44"/>
              </w:numPr>
              <w:spacing w:line="276" w:lineRule="auto"/>
              <w:ind w:left="459" w:hanging="283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det er i beregningerne forudsat at kildestyrken for disse anlæg ikke overstiger følgende:</w:t>
            </w:r>
          </w:p>
          <w:p w:rsidR="000326BD" w:rsidRPr="00A20395" w:rsidRDefault="000326BD" w:rsidP="001A147F">
            <w:pPr>
              <w:pStyle w:val="Listeafsnit"/>
              <w:spacing w:line="276" w:lineRule="auto"/>
              <w:ind w:left="459"/>
              <w:rPr>
                <w:rFonts w:ascii="Verdana" w:hAnsi="Verdana"/>
                <w:sz w:val="18"/>
                <w:szCs w:val="18"/>
                <w:lang w:val="en-US"/>
              </w:rPr>
            </w:pPr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 xml:space="preserve">- Ventilation: </w:t>
            </w:r>
            <w:proofErr w:type="spellStart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LwA</w:t>
            </w:r>
            <w:proofErr w:type="spellEnd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= 75 dB(A)</w:t>
            </w:r>
          </w:p>
          <w:p w:rsidR="000326BD" w:rsidRPr="00A20395" w:rsidRDefault="000326BD" w:rsidP="001A147F">
            <w:pPr>
              <w:pStyle w:val="Listeafsnit"/>
              <w:spacing w:line="276" w:lineRule="auto"/>
              <w:ind w:left="459"/>
              <w:rPr>
                <w:rFonts w:ascii="Verdana" w:hAnsi="Verdana"/>
                <w:sz w:val="18"/>
                <w:szCs w:val="18"/>
                <w:lang w:val="en-US"/>
              </w:rPr>
            </w:pPr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Køleanlæg</w:t>
            </w:r>
            <w:proofErr w:type="spellEnd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  <w:r w:rsidR="00A23E1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LwA</w:t>
            </w:r>
            <w:proofErr w:type="spellEnd"/>
            <w:r w:rsidRPr="00A20395">
              <w:rPr>
                <w:rFonts w:ascii="Verdana" w:hAnsi="Verdana"/>
                <w:sz w:val="18"/>
                <w:szCs w:val="18"/>
                <w:lang w:val="en-US"/>
              </w:rPr>
              <w:t>= 70 dB(A)</w:t>
            </w:r>
          </w:p>
          <w:p w:rsidR="000326BD" w:rsidRPr="00A20395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Vilkårene angivet i støjredegørelsen </w:t>
            </w:r>
            <w:r w:rsidR="001F0BEB">
              <w:rPr>
                <w:rFonts w:ascii="Verdana" w:hAnsi="Verdana"/>
                <w:sz w:val="18"/>
                <w:szCs w:val="18"/>
              </w:rPr>
              <w:t>præciseres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i lokalplanens redegørelse.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981D8F" w:rsidRDefault="000326BD" w:rsidP="00A23E18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Indsigelsen</w:t>
            </w:r>
            <w:r w:rsidR="00981D8F">
              <w:rPr>
                <w:rFonts w:ascii="Verdana" w:hAnsi="Verdana"/>
                <w:sz w:val="18"/>
                <w:szCs w:val="18"/>
              </w:rPr>
              <w:t xml:space="preserve"> er allerede </w:t>
            </w:r>
            <w:r w:rsidR="00A23E18">
              <w:rPr>
                <w:rFonts w:ascii="Verdana" w:hAnsi="Verdana"/>
                <w:sz w:val="18"/>
                <w:szCs w:val="18"/>
              </w:rPr>
              <w:t xml:space="preserve">delvis </w:t>
            </w:r>
            <w:r w:rsidR="00981D8F">
              <w:rPr>
                <w:rFonts w:ascii="Verdana" w:hAnsi="Verdana"/>
                <w:sz w:val="18"/>
                <w:szCs w:val="18"/>
              </w:rPr>
              <w:t>imødekommet i l</w:t>
            </w:r>
            <w:r w:rsidR="00981D8F">
              <w:rPr>
                <w:rFonts w:ascii="Verdana" w:hAnsi="Verdana"/>
                <w:sz w:val="18"/>
                <w:szCs w:val="18"/>
              </w:rPr>
              <w:t>o</w:t>
            </w:r>
            <w:r w:rsidR="00981D8F">
              <w:rPr>
                <w:rFonts w:ascii="Verdana" w:hAnsi="Verdana"/>
                <w:sz w:val="18"/>
                <w:szCs w:val="18"/>
              </w:rPr>
              <w:t>kalplanen og præciseres yderligere.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Rystelser: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EB7568">
              <w:rPr>
                <w:rFonts w:ascii="Verdana" w:hAnsi="Verdana"/>
                <w:sz w:val="18"/>
                <w:szCs w:val="18"/>
              </w:rPr>
              <w:t>ra forøge</w:t>
            </w:r>
            <w:r>
              <w:rPr>
                <w:rFonts w:ascii="Verdana" w:hAnsi="Verdana"/>
                <w:sz w:val="18"/>
                <w:szCs w:val="18"/>
              </w:rPr>
              <w:t>t varelevering/lastbiltrafik.</w:t>
            </w:r>
          </w:p>
          <w:p w:rsidR="00D55387" w:rsidRPr="00EB7568" w:rsidRDefault="00D55387" w:rsidP="00B007CA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992" w:type="dxa"/>
          </w:tcPr>
          <w:p w:rsidR="00B007CA" w:rsidRDefault="000326BD" w:rsidP="00B007CA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  <w:lang w:eastAsia="da-DK"/>
              </w:rPr>
              <w:t>Teknik &amp; Miljø</w:t>
            </w:r>
            <w:r w:rsidR="00520959">
              <w:rPr>
                <w:rFonts w:ascii="Verdana" w:hAnsi="Verdana"/>
                <w:sz w:val="18"/>
                <w:szCs w:val="18"/>
              </w:rPr>
              <w:t xml:space="preserve"> vurderer</w:t>
            </w:r>
            <w:r w:rsidR="00520959" w:rsidRPr="00520959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73E3D">
              <w:rPr>
                <w:rFonts w:ascii="Verdana" w:hAnsi="Verdana"/>
                <w:sz w:val="18"/>
                <w:szCs w:val="18"/>
              </w:rPr>
              <w:t xml:space="preserve">at mængden af </w:t>
            </w:r>
            <w:r w:rsidR="00520959">
              <w:rPr>
                <w:rFonts w:ascii="Verdana" w:hAnsi="Verdana"/>
                <w:sz w:val="18"/>
                <w:szCs w:val="18"/>
              </w:rPr>
              <w:t>tung trafik</w:t>
            </w:r>
            <w:r w:rsidR="00773E3D">
              <w:rPr>
                <w:rFonts w:ascii="Verdana" w:hAnsi="Verdana"/>
                <w:sz w:val="18"/>
                <w:szCs w:val="18"/>
              </w:rPr>
              <w:t xml:space="preserve"> i store træk vil være uændret </w:t>
            </w:r>
            <w:r w:rsidR="00A23E18">
              <w:rPr>
                <w:rFonts w:ascii="Verdana" w:hAnsi="Verdana"/>
                <w:sz w:val="18"/>
                <w:szCs w:val="18"/>
              </w:rPr>
              <w:t>i forhold til den nuv</w:t>
            </w:r>
            <w:r w:rsidR="00A23E18">
              <w:rPr>
                <w:rFonts w:ascii="Verdana" w:hAnsi="Verdana"/>
                <w:sz w:val="18"/>
                <w:szCs w:val="18"/>
              </w:rPr>
              <w:t>æ</w:t>
            </w:r>
            <w:r w:rsidR="00A23E18">
              <w:rPr>
                <w:rFonts w:ascii="Verdana" w:hAnsi="Verdana"/>
                <w:sz w:val="18"/>
                <w:szCs w:val="18"/>
              </w:rPr>
              <w:t>rende anvendelse som postterminal</w:t>
            </w:r>
            <w:r w:rsidR="00773E3D">
              <w:rPr>
                <w:rFonts w:ascii="Verdana" w:hAnsi="Verdana"/>
                <w:sz w:val="18"/>
                <w:szCs w:val="18"/>
              </w:rPr>
              <w:t xml:space="preserve"> og dermed ikke generere yderligere rystelser.</w:t>
            </w:r>
            <w:r w:rsidR="00773E3D"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007CA" w:rsidRPr="00EB7568" w:rsidRDefault="00B007CA" w:rsidP="00B007CA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B007CA" w:rsidRPr="00D55387" w:rsidRDefault="00B007CA" w:rsidP="00B007CA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D55387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Trafik:</w:t>
            </w:r>
          </w:p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aotisk trafikal situation i krydset vil forværres </w:t>
            </w:r>
            <w:r w:rsidR="00A23E18">
              <w:rPr>
                <w:rFonts w:ascii="Verdana" w:hAnsi="Verdana"/>
                <w:sz w:val="18"/>
                <w:szCs w:val="18"/>
              </w:rPr>
              <w:t xml:space="preserve">og betyde 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risiko for ulykker for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eksempel cyklister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FD1F85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  <w:lang w:eastAsia="da-DK"/>
              </w:rPr>
              <w:t>Teknik &amp; Miljø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07CA">
              <w:rPr>
                <w:rFonts w:ascii="Verdana" w:hAnsi="Verdana"/>
                <w:sz w:val="18"/>
                <w:szCs w:val="18"/>
              </w:rPr>
              <w:t xml:space="preserve">har i forbindelse med 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>miljøscreeni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>n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>gen vurderet, at anlæggelse af en ny dagligvareb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>u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 xml:space="preserve">tik vil give øget </w:t>
            </w:r>
            <w:r w:rsidR="00B007CA">
              <w:rPr>
                <w:rFonts w:ascii="Verdana" w:hAnsi="Verdana"/>
                <w:sz w:val="18"/>
                <w:szCs w:val="18"/>
              </w:rPr>
              <w:t>person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 xml:space="preserve">trafikmængde. Det vurderes </w:t>
            </w:r>
            <w:r w:rsidR="00B007CA">
              <w:rPr>
                <w:rFonts w:ascii="Verdana" w:hAnsi="Verdana"/>
                <w:sz w:val="18"/>
                <w:szCs w:val="18"/>
              </w:rPr>
              <w:t>samtidig,</w:t>
            </w:r>
            <w:r w:rsidR="00B007CA" w:rsidRPr="00D55387">
              <w:rPr>
                <w:rFonts w:ascii="Verdana" w:hAnsi="Verdana"/>
                <w:sz w:val="18"/>
                <w:szCs w:val="18"/>
              </w:rPr>
              <w:t xml:space="preserve"> at denne trafikmængde ikke er så stor, at det overstiger krydsets og Indre Ringvejs kapacitet. </w:t>
            </w:r>
          </w:p>
          <w:p w:rsidR="00B007CA" w:rsidRPr="00EB7568" w:rsidRDefault="00B007CA" w:rsidP="001A147F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B007CA" w:rsidP="00B007CA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D55387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417BA6" w:rsidRDefault="000326BD" w:rsidP="00A23E18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417BA6">
              <w:rPr>
                <w:rFonts w:ascii="Verdana" w:hAnsi="Verdana"/>
                <w:sz w:val="18"/>
                <w:szCs w:val="18"/>
              </w:rPr>
              <w:t>Beboerne ønsker</w:t>
            </w:r>
            <w:r w:rsidR="00A23E18">
              <w:rPr>
                <w:rFonts w:ascii="Verdana" w:hAnsi="Verdana"/>
                <w:sz w:val="18"/>
                <w:szCs w:val="18"/>
              </w:rPr>
              <w:t xml:space="preserve"> ikke,</w:t>
            </w:r>
            <w:r w:rsidRPr="00417BA6">
              <w:rPr>
                <w:rFonts w:ascii="Verdana" w:hAnsi="Verdana"/>
                <w:sz w:val="18"/>
                <w:szCs w:val="18"/>
              </w:rPr>
              <w:t xml:space="preserve"> at der planlægges for en ny dagligvarebutik i umiddelbar nærhed af boligerne.</w:t>
            </w: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Teknik &amp; Miljø vurderer, at forholdene</w:t>
            </w:r>
            <w:r w:rsidR="00D55387">
              <w:rPr>
                <w:rFonts w:ascii="Verdana" w:hAnsi="Verdana"/>
                <w:sz w:val="18"/>
                <w:szCs w:val="18"/>
              </w:rPr>
              <w:t xml:space="preserve"> samlet set</w:t>
            </w:r>
            <w:r>
              <w:rPr>
                <w:rFonts w:ascii="Verdana" w:hAnsi="Verdana"/>
                <w:sz w:val="18"/>
                <w:szCs w:val="18"/>
              </w:rPr>
              <w:t xml:space="preserve"> omkring støj, rystelser og trafik ikke </w:t>
            </w:r>
            <w:r w:rsidR="00A23E18">
              <w:rPr>
                <w:rFonts w:ascii="Verdana" w:hAnsi="Verdana"/>
                <w:sz w:val="18"/>
                <w:szCs w:val="18"/>
              </w:rPr>
              <w:t xml:space="preserve">overskrider grænseværdierne og derfor ikke hindrer, </w:t>
            </w:r>
            <w:r>
              <w:rPr>
                <w:rFonts w:ascii="Verdana" w:hAnsi="Verdana"/>
                <w:sz w:val="18"/>
                <w:szCs w:val="18"/>
              </w:rPr>
              <w:t xml:space="preserve">at der </w:t>
            </w:r>
            <w:r w:rsidR="004C3746">
              <w:rPr>
                <w:rFonts w:ascii="Verdana" w:hAnsi="Verdana"/>
                <w:sz w:val="18"/>
                <w:szCs w:val="18"/>
              </w:rPr>
              <w:t xml:space="preserve">kan </w:t>
            </w:r>
            <w:r>
              <w:rPr>
                <w:rFonts w:ascii="Verdana" w:hAnsi="Verdana"/>
                <w:sz w:val="18"/>
                <w:szCs w:val="18"/>
              </w:rPr>
              <w:t>planlægges for en dagligvarebutik i lokalplanomr</w:t>
            </w:r>
            <w:r>
              <w:rPr>
                <w:rFonts w:ascii="Verdana" w:hAnsi="Verdana"/>
                <w:sz w:val="18"/>
                <w:szCs w:val="18"/>
              </w:rPr>
              <w:t>å</w:t>
            </w:r>
            <w:r>
              <w:rPr>
                <w:rFonts w:ascii="Verdana" w:hAnsi="Verdana"/>
                <w:sz w:val="18"/>
                <w:szCs w:val="18"/>
              </w:rPr>
              <w:t xml:space="preserve">det.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DC10A0" w:rsidP="00B007CA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D55387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Alternativt:</w:t>
            </w:r>
          </w:p>
          <w:p w:rsidR="000326BD" w:rsidRPr="00106CF3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tilfælde af at lokalplanen gennemføres, ønsker indsigerne, at der opføres en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støjmur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i skel mod Indre Ringvej for at mindske generne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992" w:type="dxa"/>
          </w:tcPr>
          <w:p w:rsidR="000326BD" w:rsidRPr="00D55387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D55387">
              <w:rPr>
                <w:rFonts w:ascii="Verdana" w:hAnsi="Verdana"/>
                <w:sz w:val="18"/>
                <w:szCs w:val="18"/>
                <w:lang w:eastAsia="da-DK"/>
              </w:rPr>
              <w:t>Teknik &amp; Miljø</w:t>
            </w:r>
            <w:r w:rsidRPr="00D55387">
              <w:rPr>
                <w:rFonts w:ascii="Verdana" w:hAnsi="Verdana"/>
                <w:sz w:val="18"/>
                <w:szCs w:val="18"/>
              </w:rPr>
              <w:t xml:space="preserve"> vurderer med hensyn </w:t>
            </w:r>
            <w:r w:rsidR="004C3746">
              <w:rPr>
                <w:rFonts w:ascii="Verdana" w:hAnsi="Verdana"/>
                <w:sz w:val="18"/>
                <w:szCs w:val="18"/>
              </w:rPr>
              <w:t>til alternativet, at o</w:t>
            </w:r>
            <w:r w:rsidRPr="00D55387">
              <w:rPr>
                <w:rFonts w:ascii="Verdana" w:hAnsi="Verdana"/>
                <w:sz w:val="18"/>
                <w:szCs w:val="18"/>
              </w:rPr>
              <w:t xml:space="preserve">pførelse af en </w:t>
            </w:r>
            <w:proofErr w:type="spellStart"/>
            <w:r w:rsidRPr="00D55387">
              <w:rPr>
                <w:rFonts w:ascii="Verdana" w:hAnsi="Verdana"/>
                <w:sz w:val="18"/>
                <w:szCs w:val="18"/>
              </w:rPr>
              <w:t>støjmur</w:t>
            </w:r>
            <w:proofErr w:type="spellEnd"/>
            <w:r w:rsidRPr="00D55387">
              <w:rPr>
                <w:rFonts w:ascii="Verdana" w:hAnsi="Verdana"/>
                <w:sz w:val="18"/>
                <w:szCs w:val="18"/>
              </w:rPr>
              <w:t xml:space="preserve"> i skel afledt af vedtage</w:t>
            </w:r>
            <w:r w:rsidRPr="00D55387">
              <w:rPr>
                <w:rFonts w:ascii="Verdana" w:hAnsi="Verdana"/>
                <w:sz w:val="18"/>
                <w:szCs w:val="18"/>
              </w:rPr>
              <w:t>l</w:t>
            </w:r>
            <w:r w:rsidRPr="00D55387">
              <w:rPr>
                <w:rFonts w:ascii="Verdana" w:hAnsi="Verdana"/>
                <w:sz w:val="18"/>
                <w:szCs w:val="18"/>
              </w:rPr>
              <w:t>sen af lokalplan 321 ikke</w:t>
            </w:r>
            <w:r w:rsidR="004C3746">
              <w:rPr>
                <w:rFonts w:ascii="Verdana" w:hAnsi="Verdana"/>
                <w:sz w:val="18"/>
                <w:szCs w:val="18"/>
              </w:rPr>
              <w:t xml:space="preserve"> er</w:t>
            </w:r>
            <w:r w:rsidRPr="00D55387">
              <w:rPr>
                <w:rFonts w:ascii="Verdana" w:hAnsi="Verdana"/>
                <w:sz w:val="18"/>
                <w:szCs w:val="18"/>
              </w:rPr>
              <w:t xml:space="preserve"> relevant, da lokalplanen ikke i sig selv afkaster gener mod Ansgarsvej i en sådan grad, at det måtte kræve en afværgefora</w:t>
            </w:r>
            <w:r w:rsidRPr="00D55387">
              <w:rPr>
                <w:rFonts w:ascii="Verdana" w:hAnsi="Verdana"/>
                <w:sz w:val="18"/>
                <w:szCs w:val="18"/>
              </w:rPr>
              <w:t>n</w:t>
            </w:r>
            <w:r w:rsidRPr="00D55387">
              <w:rPr>
                <w:rFonts w:ascii="Verdana" w:hAnsi="Verdana"/>
                <w:sz w:val="18"/>
                <w:szCs w:val="18"/>
              </w:rPr>
              <w:t>staltning jf. støjredegørelsen.</w:t>
            </w:r>
          </w:p>
          <w:p w:rsidR="000326BD" w:rsidRPr="00D55387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D55387" w:rsidRDefault="00DC10A0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D55387" w:rsidRPr="00D55387">
              <w:rPr>
                <w:rFonts w:ascii="Verdana" w:hAnsi="Verdana"/>
                <w:sz w:val="18"/>
                <w:szCs w:val="18"/>
              </w:rPr>
              <w:t>orslaget</w:t>
            </w:r>
            <w:r w:rsidR="000326BD" w:rsidRPr="00D55387">
              <w:rPr>
                <w:rFonts w:ascii="Verdana" w:hAnsi="Verdana"/>
                <w:sz w:val="18"/>
                <w:szCs w:val="18"/>
              </w:rPr>
              <w:t xml:space="preserve"> imødekommes ikke.</w:t>
            </w:r>
          </w:p>
        </w:tc>
      </w:tr>
      <w:tr w:rsidR="000326BD" w:rsidRPr="00EB7568" w:rsidTr="001A147F">
        <w:tc>
          <w:tcPr>
            <w:tcW w:w="1951" w:type="dxa"/>
            <w:vMerge w:val="restart"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t xml:space="preserve">2 – Dansk </w:t>
            </w:r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B7568">
              <w:rPr>
                <w:rFonts w:ascii="Verdana" w:hAnsi="Verdana"/>
                <w:b/>
                <w:sz w:val="18"/>
                <w:szCs w:val="18"/>
              </w:rPr>
              <w:t>Development</w:t>
            </w:r>
            <w:proofErr w:type="spellEnd"/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lastRenderedPageBreak/>
              <w:t>6. april 2016</w:t>
            </w: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§ 1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anvendelse ønskes ændret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2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 xml:space="preserve">fra 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at muliggøre ”højst én dagligvarebutik” </w:t>
            </w: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 xml:space="preserve">samt ”forhindre etablering af udvalgsvarer”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2"/>
              </w:numPr>
              <w:spacing w:line="276" w:lineRule="auto"/>
              <w:ind w:left="459" w:hanging="284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 xml:space="preserve">til 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at </w:t>
            </w:r>
            <w:proofErr w:type="gramStart"/>
            <w:r w:rsidRPr="00EB7568">
              <w:rPr>
                <w:rFonts w:ascii="Verdana" w:hAnsi="Verdana"/>
                <w:sz w:val="18"/>
                <w:szCs w:val="18"/>
              </w:rPr>
              <w:t>muliggøre</w:t>
            </w:r>
            <w:proofErr w:type="gramEnd"/>
            <w:r w:rsidRPr="00EB7568">
              <w:rPr>
                <w:rFonts w:ascii="Verdana" w:hAnsi="Verdana"/>
                <w:sz w:val="18"/>
                <w:szCs w:val="18"/>
              </w:rPr>
              <w:t xml:space="preserve"> ”etablering af dagligvareha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>del”.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Teknik &amp; Miljø vurderer, at anvendelsesbestemme</w:t>
            </w:r>
            <w:r w:rsidRPr="00EB7568">
              <w:rPr>
                <w:rFonts w:ascii="Verdana" w:hAnsi="Verdana"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sz w:val="18"/>
                <w:szCs w:val="18"/>
              </w:rPr>
              <w:t>sen ”højst én dagligvarebutik” samt ”forhindre eta</w:t>
            </w:r>
            <w:r w:rsidRPr="00EB7568">
              <w:rPr>
                <w:rFonts w:ascii="Verdana" w:hAnsi="Verdana"/>
                <w:sz w:val="18"/>
                <w:szCs w:val="18"/>
              </w:rPr>
              <w:t>b</w:t>
            </w:r>
            <w:r w:rsidRPr="00EB7568">
              <w:rPr>
                <w:rFonts w:ascii="Verdana" w:hAnsi="Verdana"/>
                <w:sz w:val="18"/>
                <w:szCs w:val="18"/>
              </w:rPr>
              <w:t>lering af udvalgsvarer” er i o</w:t>
            </w:r>
            <w:r>
              <w:rPr>
                <w:rFonts w:ascii="Verdana" w:hAnsi="Verdana"/>
                <w:sz w:val="18"/>
                <w:szCs w:val="18"/>
              </w:rPr>
              <w:t xml:space="preserve">verensstemmelse med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den vedtagne indstilling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til igangsætning af loka</w:t>
            </w:r>
            <w:r w:rsidRPr="00EB7568">
              <w:rPr>
                <w:rFonts w:ascii="Verdana" w:hAnsi="Verdana"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sz w:val="18"/>
                <w:szCs w:val="18"/>
              </w:rPr>
              <w:t>planen.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 forbindelse med igangsætningen blev der red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gjort for effekten af yderligere dagligvare- og u</w:t>
            </w:r>
            <w:r w:rsidRPr="00EB7568">
              <w:rPr>
                <w:rFonts w:ascii="Verdana" w:hAnsi="Verdana"/>
                <w:sz w:val="18"/>
                <w:szCs w:val="18"/>
              </w:rPr>
              <w:t>d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valgsvarebutikker indenfor lokalplanområdet med baggrund i Gang i byen-strategien.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Gang i byen-strategien, oprindeligt detailhandel</w:t>
            </w:r>
            <w:r w:rsidRPr="00EB7568">
              <w:rPr>
                <w:rFonts w:ascii="Verdana" w:hAnsi="Verdana"/>
                <w:sz w:val="18"/>
                <w:szCs w:val="18"/>
              </w:rPr>
              <w:t>s</w:t>
            </w:r>
            <w:r w:rsidRPr="00EB7568">
              <w:rPr>
                <w:rFonts w:ascii="Verdana" w:hAnsi="Verdana"/>
                <w:sz w:val="18"/>
                <w:szCs w:val="18"/>
              </w:rPr>
              <w:t>planen, peger på, at Byrådet med fordel kan arbe</w:t>
            </w:r>
            <w:r w:rsidRPr="00EB7568">
              <w:rPr>
                <w:rFonts w:ascii="Verdana" w:hAnsi="Verdana"/>
                <w:sz w:val="18"/>
                <w:szCs w:val="18"/>
              </w:rPr>
              <w:t>j</w:t>
            </w:r>
            <w:r w:rsidRPr="00EB7568">
              <w:rPr>
                <w:rFonts w:ascii="Verdana" w:hAnsi="Verdana"/>
                <w:sz w:val="18"/>
                <w:szCs w:val="18"/>
              </w:rPr>
              <w:t>de for at koncentrere butikkerne i bymidten af he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syn til byens nuværende størrelse og </w:t>
            </w:r>
            <w:r w:rsidR="001A147F">
              <w:rPr>
                <w:rFonts w:ascii="Verdana" w:hAnsi="Verdana"/>
                <w:sz w:val="18"/>
                <w:szCs w:val="18"/>
              </w:rPr>
              <w:t>købekraft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for ikke at udvande oplevelsen af butiksudbuddet.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4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udstykning ønskes ændret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1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 xml:space="preserve">fra </w:t>
            </w:r>
            <w:r w:rsidRPr="00EB7568">
              <w:rPr>
                <w:rFonts w:ascii="Verdana" w:hAnsi="Verdana"/>
                <w:sz w:val="18"/>
                <w:szCs w:val="18"/>
              </w:rPr>
              <w:t>at grunden ikke må udstykkes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1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EB7568">
              <w:rPr>
                <w:rFonts w:ascii="Verdana" w:hAnsi="Verdana"/>
                <w:i/>
                <w:sz w:val="18"/>
                <w:szCs w:val="18"/>
              </w:rPr>
              <w:t>til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at regulering af udstykning helt udgår.</w:t>
            </w:r>
            <w:proofErr w:type="gramEnd"/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Teknik &amp; Miljø </w:t>
            </w:r>
            <w:r>
              <w:rPr>
                <w:rFonts w:ascii="Verdana" w:hAnsi="Verdana"/>
                <w:sz w:val="18"/>
                <w:szCs w:val="18"/>
              </w:rPr>
              <w:t>vurderer, at intentionen med loka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planen er at etablere én større enhed på grunden, ligesom der i dag er tale om én dominerende b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byggelse. </w:t>
            </w:r>
          </w:p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Lokalplanens formål og indhold lægger derfor ikke op til flere, mindre enheder, som skaber behov for at grunden skal kunne udstykkes.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tabs>
                <w:tab w:val="left" w:pos="951"/>
              </w:tabs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5.4</w:t>
            </w:r>
            <w:r w:rsidRPr="00EB7568">
              <w:rPr>
                <w:rFonts w:ascii="Verdana" w:hAnsi="Verdana"/>
                <w:sz w:val="18"/>
                <w:szCs w:val="18"/>
              </w:rPr>
              <w:tab/>
            </w:r>
          </w:p>
          <w:p w:rsidR="000326BD" w:rsidRPr="00EB7568" w:rsidRDefault="000326BD" w:rsidP="001A147F">
            <w:pPr>
              <w:tabs>
                <w:tab w:val="left" w:pos="951"/>
              </w:tabs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Bestemmelse vedr. stiforbindelse ønskes præcis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ret, så den beskriver en konkret stiforbindelse fra Indre Ringvej til det aktuelle projekts hovedin</w:t>
            </w:r>
            <w:r w:rsidRPr="00EB7568">
              <w:rPr>
                <w:rFonts w:ascii="Verdana" w:hAnsi="Verdana"/>
                <w:sz w:val="18"/>
                <w:szCs w:val="18"/>
              </w:rPr>
              <w:t>d</w:t>
            </w:r>
            <w:r w:rsidRPr="00EB7568">
              <w:rPr>
                <w:rFonts w:ascii="Verdana" w:hAnsi="Verdana"/>
                <w:sz w:val="18"/>
                <w:szCs w:val="18"/>
              </w:rPr>
              <w:t>gang.</w:t>
            </w:r>
          </w:p>
          <w:p w:rsidR="000326BD" w:rsidRPr="00EB7568" w:rsidRDefault="000326BD" w:rsidP="001A147F">
            <w:pPr>
              <w:tabs>
                <w:tab w:val="left" w:pos="951"/>
              </w:tabs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præciseringen uhe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>sigtsmæssigt fastlåser lokalplanens udnyttelsesm</w:t>
            </w:r>
            <w:r w:rsidRPr="00EB7568">
              <w:rPr>
                <w:rFonts w:ascii="Verdana" w:hAnsi="Verdana"/>
                <w:sz w:val="18"/>
                <w:szCs w:val="18"/>
              </w:rPr>
              <w:t>u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ligheder i forhold til en alternativ </w:t>
            </w:r>
            <w:r w:rsidR="001A147F">
              <w:rPr>
                <w:rFonts w:ascii="Verdana" w:hAnsi="Verdana"/>
                <w:sz w:val="18"/>
                <w:szCs w:val="18"/>
              </w:rPr>
              <w:t>disponering af bebyggelse på grunden</w:t>
            </w:r>
            <w:r w:rsidRPr="00EB756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5.5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Bestemmelse vedr. antal handicapparkeringspla</w:t>
            </w:r>
            <w:r w:rsidRPr="00EB7568">
              <w:rPr>
                <w:rFonts w:ascii="Verdana" w:hAnsi="Verdana"/>
                <w:sz w:val="18"/>
                <w:szCs w:val="18"/>
              </w:rPr>
              <w:t>d</w:t>
            </w:r>
            <w:r w:rsidRPr="00EB7568">
              <w:rPr>
                <w:rFonts w:ascii="Verdana" w:hAnsi="Verdana"/>
                <w:sz w:val="18"/>
                <w:szCs w:val="18"/>
              </w:rPr>
              <w:t>ser ønskes fastsat til to.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angivelse af handica</w:t>
            </w:r>
            <w:r w:rsidRPr="00EB7568">
              <w:rPr>
                <w:rFonts w:ascii="Verdana" w:hAnsi="Verdana"/>
                <w:sz w:val="18"/>
                <w:szCs w:val="18"/>
              </w:rPr>
              <w:t>p</w:t>
            </w:r>
            <w:r w:rsidRPr="00EB7568">
              <w:rPr>
                <w:rFonts w:ascii="Verdana" w:hAnsi="Verdana"/>
                <w:sz w:val="18"/>
                <w:szCs w:val="18"/>
              </w:rPr>
              <w:t>parkeringspladser reguleres ved anden lovgivning og derfor ikke bør fastsættes med lokalplanen.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10.5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størrelse af skiltning ønskes øget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0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fra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højst 9 m</w:t>
            </w:r>
            <w:r w:rsidRPr="00EB7568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40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til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højst 15 m</w:t>
            </w:r>
            <w:r w:rsidRPr="00EB7568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B7568"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størrelsen af skiltning kan korrigeres. Lokalplanen muliggør relativt store bygningsfacader, som vurderes fortsat vil se ha</w:t>
            </w:r>
            <w:r w:rsidRPr="00EB7568">
              <w:rPr>
                <w:rFonts w:ascii="Verdana" w:hAnsi="Verdana"/>
                <w:sz w:val="18"/>
                <w:szCs w:val="18"/>
              </w:rPr>
              <w:t>r</w:t>
            </w:r>
            <w:r w:rsidRPr="00EB7568">
              <w:rPr>
                <w:rFonts w:ascii="Verdana" w:hAnsi="Verdana"/>
                <w:sz w:val="18"/>
                <w:szCs w:val="18"/>
              </w:rPr>
              <w:t>monisk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ud, hvis skiltningen øges fra at skulle ho</w:t>
            </w:r>
            <w:r w:rsidRPr="00EB7568">
              <w:rPr>
                <w:rFonts w:ascii="Verdana" w:hAnsi="Verdana"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sz w:val="18"/>
                <w:szCs w:val="18"/>
              </w:rPr>
              <w:t>des indenfor en rektangel</w:t>
            </w:r>
            <w:r>
              <w:rPr>
                <w:rFonts w:ascii="Verdana" w:hAnsi="Verdana"/>
                <w:sz w:val="18"/>
                <w:szCs w:val="18"/>
              </w:rPr>
              <w:t xml:space="preserve"> på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9 m</w:t>
            </w:r>
            <w:r w:rsidRPr="00EB7568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til en rektangel på 15 m</w:t>
            </w:r>
            <w:r w:rsidRPr="00EB7568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B7568"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10.7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størrelse på pyloner ønskes øget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9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fra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1½ m bredde og 6 m højde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9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 xml:space="preserve">til </w:t>
            </w:r>
            <w:r w:rsidRPr="00EB7568">
              <w:rPr>
                <w:rFonts w:ascii="Verdana" w:hAnsi="Verdana"/>
                <w:sz w:val="18"/>
                <w:szCs w:val="18"/>
              </w:rPr>
              <w:t>2 m bredde og 8½ m højde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de højst tilladte dimens</w:t>
            </w:r>
            <w:r w:rsidRPr="00EB7568">
              <w:rPr>
                <w:rFonts w:ascii="Verdana" w:hAnsi="Verdana"/>
                <w:sz w:val="18"/>
                <w:szCs w:val="18"/>
              </w:rPr>
              <w:t>i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oner på pyloner er passende for lokalplanområdet og ikke bør øges.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Det vurderes, at lokalplanområdet er sammenlign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ligt med lokalplanområderne 301 Udvidelse af R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ma1000 og 319 Bydelscenter ved Nymarksvej, som ligger i tæt bymæssig kontekst. </w:t>
            </w:r>
          </w:p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1A147F" w:rsidRDefault="001A147F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 tillades ikke større pyloner i lokalplan 301 og lokalplan 319, dimensionerne er endda mindre. Bestemmelserne i lokalplan 329 for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Vestcentret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som ligger i en mindre </w:t>
            </w:r>
            <w:r w:rsidR="00C24D72">
              <w:rPr>
                <w:rFonts w:ascii="Verdana" w:hAnsi="Verdana"/>
                <w:sz w:val="18"/>
                <w:szCs w:val="18"/>
              </w:rPr>
              <w:t>bynær kontekst, tillader he</w:t>
            </w:r>
            <w:r w:rsidR="00C24D72">
              <w:rPr>
                <w:rFonts w:ascii="Verdana" w:hAnsi="Verdana"/>
                <w:sz w:val="18"/>
                <w:szCs w:val="18"/>
              </w:rPr>
              <w:t>l</w:t>
            </w:r>
            <w:r w:rsidR="00C24D72">
              <w:rPr>
                <w:rFonts w:ascii="Verdana" w:hAnsi="Verdana"/>
                <w:sz w:val="18"/>
                <w:szCs w:val="18"/>
              </w:rPr>
              <w:t xml:space="preserve">ler ikke større pyloner, når de nyetableres. </w:t>
            </w:r>
          </w:p>
          <w:p w:rsidR="001A147F" w:rsidRDefault="001A147F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24D72" w:rsidRDefault="000326BD" w:rsidP="00C24D72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Det vil derfor være i overensstemmelse med Teknik &amp; Miljøs praksis at dimensionere pylonerne i forhold til den </w:t>
            </w:r>
            <w:r w:rsidRPr="00C24D72">
              <w:rPr>
                <w:rFonts w:ascii="Verdana" w:hAnsi="Verdana"/>
                <w:i/>
                <w:sz w:val="18"/>
                <w:szCs w:val="18"/>
              </w:rPr>
              <w:t>aktuelle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kontekst</w:t>
            </w:r>
            <w:r w:rsidR="00C24D72">
              <w:rPr>
                <w:rFonts w:ascii="Verdana" w:hAnsi="Verdana"/>
                <w:sz w:val="18"/>
                <w:szCs w:val="18"/>
              </w:rPr>
              <w:t>, som lokalplanen li</w:t>
            </w:r>
            <w:r>
              <w:rPr>
                <w:rFonts w:ascii="Verdana" w:hAnsi="Verdana"/>
                <w:sz w:val="18"/>
                <w:szCs w:val="18"/>
              </w:rPr>
              <w:t xml:space="preserve">gger </w:t>
            </w:r>
            <w:r w:rsidR="00C24D72">
              <w:rPr>
                <w:rFonts w:ascii="Verdana" w:hAnsi="Verdana"/>
                <w:sz w:val="18"/>
                <w:szCs w:val="18"/>
              </w:rPr>
              <w:t>i, og ikke en øget størrelse.</w:t>
            </w:r>
          </w:p>
          <w:p w:rsidR="000326BD" w:rsidRPr="00EB7568" w:rsidRDefault="00C24D72" w:rsidP="00C24D72">
            <w:pPr>
              <w:spacing w:line="276" w:lineRule="auto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EB7568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10.8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flagning ønskes ændret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8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fra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ingen reklameflag og flagborge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8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til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tilladelse til opsætning af flagrække på 12 m</w:t>
            </w:r>
            <w:r>
              <w:rPr>
                <w:rFonts w:ascii="Verdana" w:hAnsi="Verdana"/>
                <w:sz w:val="18"/>
                <w:szCs w:val="18"/>
              </w:rPr>
              <w:t xml:space="preserve"> højde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eller flagborge af tre flag.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Begrundelsen er at adskillige andre butikker rekl</w:t>
            </w:r>
            <w:r w:rsidRPr="00EB7568">
              <w:rPr>
                <w:rFonts w:ascii="Verdana" w:hAnsi="Verdana"/>
                <w:sz w:val="18"/>
                <w:szCs w:val="18"/>
              </w:rPr>
              <w:t>a</w:t>
            </w:r>
            <w:r w:rsidRPr="00EB7568">
              <w:rPr>
                <w:rFonts w:ascii="Verdana" w:hAnsi="Verdana"/>
                <w:sz w:val="18"/>
                <w:szCs w:val="18"/>
              </w:rPr>
              <w:t>merer med flag.</w:t>
            </w: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byggeri indenfor loka</w:t>
            </w:r>
            <w:r w:rsidRPr="00EB7568">
              <w:rPr>
                <w:rFonts w:ascii="Verdana" w:hAnsi="Verdana"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sz w:val="18"/>
                <w:szCs w:val="18"/>
              </w:rPr>
              <w:t>planområdet har tilstrækkelig mulighed for at blive markeret tydeligt med skiltning og pyloner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Flagalléer og flagborge vil få området til at se diffus og rodet ud og </w:t>
            </w:r>
            <w:r w:rsidRPr="00EB7568">
              <w:rPr>
                <w:rFonts w:ascii="Verdana" w:hAnsi="Verdana"/>
                <w:sz w:val="18"/>
                <w:szCs w:val="18"/>
              </w:rPr>
              <w:t>ikke gav</w:t>
            </w:r>
            <w:r>
              <w:rPr>
                <w:rFonts w:ascii="Verdana" w:hAnsi="Verdana"/>
                <w:sz w:val="18"/>
                <w:szCs w:val="18"/>
              </w:rPr>
              <w:t>ne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det samlede indtryk af nærområdet.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Det vurderes, at lokalplanområdet er sammenlign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ligt med lokalplanområderne 301 Udvidelse af R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ma1000 og 319 Bydelscenter ved Nymarksvej, som ligger i tæt bymæssig kontekst.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 disse lokalplaner er det ligeledes ikke tilladt at opsætte reklameflag og flagborge.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§ 11.4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Bestemmelse vedr. udendørs opholdsarealer ønskes ændret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8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fra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5 % af etagearealet </w:t>
            </w:r>
          </w:p>
          <w:p w:rsidR="000326BD" w:rsidRPr="00EB7568" w:rsidRDefault="000326BD" w:rsidP="001A147F">
            <w:pPr>
              <w:pStyle w:val="Listeafsnit"/>
              <w:numPr>
                <w:ilvl w:val="0"/>
                <w:numId w:val="38"/>
              </w:numPr>
              <w:spacing w:line="276" w:lineRule="auto"/>
              <w:ind w:left="459" w:hanging="284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til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50 m</w:t>
            </w:r>
            <w:r w:rsidRPr="00EB7568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B7568"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Teknik &amp; Miljø vurderer</w:t>
            </w:r>
            <w:r>
              <w:rPr>
                <w:rFonts w:ascii="Verdana" w:hAnsi="Verdana"/>
                <w:sz w:val="18"/>
                <w:szCs w:val="18"/>
              </w:rPr>
              <w:t>, at der ikke findes nærli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>
              <w:rPr>
                <w:rFonts w:ascii="Verdana" w:hAnsi="Verdana"/>
                <w:sz w:val="18"/>
                <w:szCs w:val="18"/>
              </w:rPr>
              <w:t xml:space="preserve">gende rekreative eller grønne arealer, som egner sig til ophold. </w:t>
            </w:r>
          </w:p>
          <w:p w:rsidR="00955C79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 at reducere kravet om udendørs opholdsarealer</w:t>
            </w:r>
            <w:r w:rsidR="00C24D72">
              <w:rPr>
                <w:rFonts w:ascii="Verdana" w:hAnsi="Verdana"/>
                <w:sz w:val="18"/>
                <w:szCs w:val="18"/>
              </w:rPr>
              <w:t>, som led i lokalplanens bestemmelser,</w:t>
            </w:r>
            <w:r>
              <w:rPr>
                <w:rFonts w:ascii="Verdana" w:hAnsi="Verdana"/>
                <w:sz w:val="18"/>
                <w:szCs w:val="18"/>
              </w:rPr>
              <w:t xml:space="preserve"> skal der </w:t>
            </w:r>
          </w:p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kunne udpeges alternative, egnede rekreative eller grønne arealer, </w:t>
            </w:r>
            <w:r w:rsidRPr="00EB7568">
              <w:rPr>
                <w:rFonts w:ascii="Verdana" w:hAnsi="Verdana"/>
                <w:sz w:val="18"/>
                <w:szCs w:val="18"/>
              </w:rPr>
              <w:t>som i givet fald også ville gælde for en alternativ udnyttelse</w:t>
            </w:r>
            <w:r w:rsidR="00C24D72">
              <w:rPr>
                <w:rFonts w:ascii="Verdana" w:hAnsi="Verdana"/>
                <w:sz w:val="18"/>
                <w:szCs w:val="18"/>
              </w:rPr>
              <w:t xml:space="preserve"> af lokalplanområdet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lastRenderedPageBreak/>
              <w:t>Indsigelsen imødekommes ikke.</w:t>
            </w:r>
          </w:p>
        </w:tc>
      </w:tr>
      <w:tr w:rsidR="000326BD" w:rsidRPr="00EB7568" w:rsidTr="001A147F">
        <w:tc>
          <w:tcPr>
            <w:tcW w:w="1951" w:type="dxa"/>
            <w:vMerge w:val="restart"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3 – </w:t>
            </w:r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B7568">
              <w:rPr>
                <w:rFonts w:ascii="Verdana" w:hAnsi="Verdana"/>
                <w:b/>
                <w:sz w:val="18"/>
                <w:szCs w:val="18"/>
              </w:rPr>
              <w:t>BaneDanmark</w:t>
            </w:r>
            <w:proofErr w:type="spellEnd"/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t>18. februar 2016</w:t>
            </w: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EB7568">
              <w:rPr>
                <w:rFonts w:ascii="Verdana" w:hAnsi="Verdana"/>
                <w:i/>
                <w:sz w:val="18"/>
                <w:szCs w:val="18"/>
              </w:rPr>
              <w:t>BaneDanmark</w:t>
            </w:r>
            <w:proofErr w:type="spellEnd"/>
            <w:r w:rsidRPr="00EB7568">
              <w:rPr>
                <w:rFonts w:ascii="Verdana" w:hAnsi="Verdana"/>
                <w:i/>
                <w:sz w:val="18"/>
                <w:szCs w:val="18"/>
              </w:rPr>
              <w:t xml:space="preserve"> har indsendt bemærkninger til loka</w:t>
            </w:r>
            <w:r w:rsidRPr="00EB7568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i/>
                <w:sz w:val="18"/>
                <w:szCs w:val="18"/>
              </w:rPr>
              <w:t>planforslaget. Bemærkningerne har dels karakter af henvisning til andre love, bemærkninger til forhold udenfor lokalplanområdet, privatretlige anliggender og forhold, som lokalplanen bør behandle.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27" w:type="dxa"/>
            <w:gridSpan w:val="2"/>
          </w:tcPr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Hen</w:t>
            </w:r>
            <w:r>
              <w:rPr>
                <w:rFonts w:ascii="Verdana" w:hAnsi="Verdana"/>
                <w:i/>
                <w:sz w:val="18"/>
                <w:szCs w:val="18"/>
              </w:rPr>
              <w:t>visning til andre love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727" w:type="dxa"/>
            <w:gridSpan w:val="2"/>
          </w:tcPr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0E5355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Jernbaneanlæg skal overholde gældende regler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lokalplanen ikke omfa</w:t>
            </w:r>
            <w:r w:rsidRPr="00EB7568">
              <w:rPr>
                <w:rFonts w:ascii="Verdana" w:hAnsi="Verdana"/>
                <w:sz w:val="18"/>
                <w:szCs w:val="18"/>
              </w:rPr>
              <w:t>t</w:t>
            </w:r>
            <w:r w:rsidRPr="00EB7568">
              <w:rPr>
                <w:rFonts w:ascii="Verdana" w:hAnsi="Verdana"/>
                <w:sz w:val="18"/>
                <w:szCs w:val="18"/>
              </w:rPr>
              <w:t>ter jernbaneanlæg.</w:t>
            </w:r>
          </w:p>
        </w:tc>
        <w:tc>
          <w:tcPr>
            <w:tcW w:w="2735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tages til efterretning.</w:t>
            </w:r>
          </w:p>
          <w:p w:rsidR="000326BD" w:rsidRPr="000E5355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Jernbanespor, tilhørende anlæg, deres anvendelse, mv. skal tåles.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Teknik &amp; Miljø vurderer, at forholdet reguleres af anden lovgivning.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indskrives i lokalplanens redegøre</w:t>
            </w:r>
            <w:r w:rsidRPr="00EB7568">
              <w:rPr>
                <w:rFonts w:ascii="Verdana" w:hAnsi="Verdana"/>
                <w:sz w:val="18"/>
                <w:szCs w:val="18"/>
              </w:rPr>
              <w:t>l</w:t>
            </w:r>
            <w:r w:rsidRPr="00EB7568">
              <w:rPr>
                <w:rFonts w:ascii="Verdana" w:hAnsi="Verdana"/>
                <w:sz w:val="18"/>
                <w:szCs w:val="18"/>
              </w:rPr>
              <w:t>se.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tages til efterretning.</w:t>
            </w:r>
          </w:p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Bemærkninger til forhold udenfor lokalplanområdet / privatretlige anliggender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727" w:type="dxa"/>
            <w:gridSpan w:val="2"/>
          </w:tcPr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Hvis byggeriet udført på baggrund af lokalplan 321 medfører uhensigtsmæssig færden omkring og på jernbanearealet gør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BaneDanmark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opmærksom på, at de vil bede ejer af matr.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nr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76b Fredericia Private Ejendomsjorders </w:t>
            </w:r>
            <w:r>
              <w:rPr>
                <w:rFonts w:ascii="Verdana" w:hAnsi="Verdana"/>
                <w:sz w:val="18"/>
                <w:szCs w:val="18"/>
              </w:rPr>
              <w:t>betale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det.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forholdet omkring uhe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>sigtsmæssig færden på og omkring jernbanearealet ligger udenfor lokalplanområdet, og at det er priva</w:t>
            </w:r>
            <w:r w:rsidRPr="00EB7568">
              <w:rPr>
                <w:rFonts w:ascii="Verdana" w:hAnsi="Verdana"/>
                <w:sz w:val="18"/>
                <w:szCs w:val="18"/>
              </w:rPr>
              <w:t>t</w:t>
            </w:r>
            <w:r w:rsidRPr="00EB7568">
              <w:rPr>
                <w:rFonts w:ascii="Verdana" w:hAnsi="Verdana"/>
                <w:sz w:val="18"/>
                <w:szCs w:val="18"/>
              </w:rPr>
              <w:t>retsligt.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videresendes til bygherre.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C24D72" w:rsidRPr="00EB7568" w:rsidRDefault="00C24D72" w:rsidP="00C24D72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tages til efterretning.</w:t>
            </w:r>
          </w:p>
          <w:p w:rsidR="000326BD" w:rsidRPr="00106CF3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Den private fællesvej på matr.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nr.e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76d og 76h Fredericia Private Ejendomsjorders benyttes i mi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dre grad af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BaneDanmarks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produktionsafdeling, som ikke stiller høje krav til tilstanden.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BaneDa</w:t>
            </w:r>
            <w:r w:rsidRPr="00EB7568">
              <w:rPr>
                <w:rFonts w:ascii="Verdana" w:hAnsi="Verdana"/>
                <w:sz w:val="18"/>
                <w:szCs w:val="18"/>
              </w:rPr>
              <w:t>n</w:t>
            </w:r>
            <w:r w:rsidRPr="00EB7568">
              <w:rPr>
                <w:rFonts w:ascii="Verdana" w:hAnsi="Verdana"/>
                <w:sz w:val="18"/>
                <w:szCs w:val="18"/>
              </w:rPr>
              <w:t>mark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 ønsker derfor ikke at få øgede udgifter til vejen.</w:t>
            </w:r>
          </w:p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955C79" w:rsidRPr="00EB7568" w:rsidRDefault="00955C79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Teknik &amp; Miljø vurderer, at forholdet ligger udenfor lokalplanens område, og at det er privatretligt. 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videresendes til bygherre.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tages til efterretning.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EB7568">
              <w:rPr>
                <w:rFonts w:ascii="Verdana" w:hAnsi="Verdana"/>
                <w:i/>
                <w:sz w:val="18"/>
                <w:szCs w:val="18"/>
              </w:rPr>
              <w:t>Forhold indenfor lokalplanens rammer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727" w:type="dxa"/>
            <w:gridSpan w:val="2"/>
          </w:tcPr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4D72" w:rsidRPr="00EB7568" w:rsidTr="001A147F">
        <w:tc>
          <w:tcPr>
            <w:tcW w:w="1951" w:type="dxa"/>
            <w:vMerge/>
          </w:tcPr>
          <w:p w:rsidR="00C24D72" w:rsidRPr="00EB7568" w:rsidRDefault="00C24D72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</w:tcPr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Byggeri mv. skal indrettes, så det kan tåle </w:t>
            </w:r>
            <w:r w:rsidRPr="00C24D72">
              <w:rPr>
                <w:rFonts w:ascii="Verdana" w:hAnsi="Verdana"/>
                <w:i/>
                <w:sz w:val="18"/>
                <w:szCs w:val="18"/>
              </w:rPr>
              <w:t>støj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og </w:t>
            </w:r>
            <w:r w:rsidRPr="00C24D72">
              <w:rPr>
                <w:rFonts w:ascii="Verdana" w:hAnsi="Verdana"/>
                <w:i/>
                <w:sz w:val="18"/>
                <w:szCs w:val="18"/>
              </w:rPr>
              <w:t>vibrationer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fra jernbanen</w:t>
            </w:r>
          </w:p>
        </w:tc>
        <w:tc>
          <w:tcPr>
            <w:tcW w:w="4992" w:type="dxa"/>
          </w:tcPr>
          <w:p w:rsidR="00C24D72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lokalplanen tager forb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hold for </w:t>
            </w:r>
            <w:r w:rsidRPr="00EB7568">
              <w:rPr>
                <w:rFonts w:ascii="Verdana" w:hAnsi="Verdana"/>
                <w:i/>
                <w:sz w:val="18"/>
                <w:szCs w:val="18"/>
              </w:rPr>
              <w:t>støjpåvirkning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via henvisning til gældende støjgrænser indendørs og udendørs på bygninger samt </w:t>
            </w:r>
            <w:proofErr w:type="spellStart"/>
            <w:r w:rsidRPr="00EB7568">
              <w:rPr>
                <w:rFonts w:ascii="Verdana" w:hAnsi="Verdana"/>
                <w:sz w:val="18"/>
                <w:szCs w:val="18"/>
              </w:rPr>
              <w:t>udearealer</w:t>
            </w:r>
            <w:proofErr w:type="spellEnd"/>
            <w:r w:rsidRPr="00EB756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er imød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kommet med eksisterende bestemmelser.</w:t>
            </w: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4D72" w:rsidRPr="00EB7568" w:rsidTr="001A147F">
        <w:tc>
          <w:tcPr>
            <w:tcW w:w="1951" w:type="dxa"/>
            <w:vMerge/>
          </w:tcPr>
          <w:p w:rsidR="00C24D72" w:rsidRPr="00EB7568" w:rsidRDefault="00C24D72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det er hensigtsmæssigt at præcisere bestemmelsen om bebyggelses plac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ring for at undgå uhensigtsmæssig påvirkning fra </w:t>
            </w:r>
            <w:r>
              <w:rPr>
                <w:rFonts w:ascii="Verdana" w:hAnsi="Verdana"/>
                <w:i/>
                <w:sz w:val="18"/>
                <w:szCs w:val="18"/>
              </w:rPr>
              <w:t>vibrationer</w:t>
            </w:r>
            <w:r w:rsidRPr="00EB7568">
              <w:rPr>
                <w:rFonts w:ascii="Verdana" w:hAnsi="Verdana"/>
                <w:sz w:val="18"/>
                <w:szCs w:val="18"/>
              </w:rPr>
              <w:t>.</w:t>
            </w: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Ifølge ”Støj og vibrationer fra jernbaner” kapitel 7, Miljøstyrelsens vejledning fra 1997 skal bebyggelse placeres min. 50 m fra jernbanestrækninger.</w:t>
            </w: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Tekst tilføjes i lokalplanens § 8.</w:t>
            </w:r>
          </w:p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</w:tcPr>
          <w:p w:rsidR="00C24D72" w:rsidRPr="00EB7568" w:rsidRDefault="00C24D72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imød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kommes med en præcis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rende tekst i lokalplanen.</w:t>
            </w: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Lys, facadebeklædning mv., som kan være til gene for jernbanedriften kan ikke tillades.</w:t>
            </w: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vurderer, at det er formålstjenligt at præcisere dette i § 6.2, hvor udendørs belysning reguleres samt i § 10.2, hvor belysning af skilte, logoer mv. reguleres.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imød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kommes med præciserende tekst</w:t>
            </w:r>
            <w:r w:rsidR="00C24D72">
              <w:rPr>
                <w:rFonts w:ascii="Verdana" w:hAnsi="Verdana"/>
                <w:sz w:val="18"/>
                <w:szCs w:val="18"/>
              </w:rPr>
              <w:t>er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i lokalplanen.</w:t>
            </w:r>
          </w:p>
          <w:p w:rsidR="000326BD" w:rsidRPr="00EB7568" w:rsidRDefault="000326BD" w:rsidP="001A147F">
            <w:pPr>
              <w:spacing w:line="276" w:lineRule="auto"/>
              <w:ind w:left="145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  <w:vMerge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D3718C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D3718C">
              <w:rPr>
                <w:rFonts w:ascii="Verdana" w:hAnsi="Verdana"/>
                <w:sz w:val="18"/>
                <w:szCs w:val="18"/>
              </w:rPr>
              <w:t>Grundvandssænkning</w:t>
            </w:r>
            <w:r w:rsidR="00D3718C" w:rsidRPr="00D3718C">
              <w:rPr>
                <w:rFonts w:ascii="Verdana" w:hAnsi="Verdana"/>
                <w:sz w:val="18"/>
                <w:szCs w:val="18"/>
              </w:rPr>
              <w:t xml:space="preserve"> kan ikke tillades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2" w:type="dxa"/>
          </w:tcPr>
          <w:p w:rsidR="000326BD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Teknik &amp; Miljø vurderer</w:t>
            </w:r>
            <w:r>
              <w:rPr>
                <w:rFonts w:ascii="Verdana" w:hAnsi="Verdana"/>
                <w:sz w:val="18"/>
                <w:szCs w:val="18"/>
              </w:rPr>
              <w:t>, at der ikke er behov for grundvandssænkning i forbindelse med byggeriet.</w:t>
            </w:r>
          </w:p>
          <w:p w:rsidR="000326BD" w:rsidRPr="00EB7568" w:rsidRDefault="000326BD" w:rsidP="00D3718C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Default="00D3718C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EB7568">
              <w:rPr>
                <w:rFonts w:ascii="Verdana" w:hAnsi="Verdana"/>
                <w:sz w:val="18"/>
                <w:szCs w:val="18"/>
              </w:rPr>
              <w:t>Bemærkningen imød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>kommes med en præcis</w:t>
            </w:r>
            <w:r w:rsidRPr="00EB7568">
              <w:rPr>
                <w:rFonts w:ascii="Verdana" w:hAnsi="Verdana"/>
                <w:sz w:val="18"/>
                <w:szCs w:val="18"/>
              </w:rPr>
              <w:t>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rende </w:t>
            </w:r>
            <w:r w:rsidR="00C24D72">
              <w:rPr>
                <w:rFonts w:ascii="Verdana" w:hAnsi="Verdana"/>
                <w:sz w:val="18"/>
                <w:szCs w:val="18"/>
              </w:rPr>
              <w:t>note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i lokalplanen.</w:t>
            </w:r>
          </w:p>
          <w:p w:rsidR="00D3718C" w:rsidRPr="00D3718C" w:rsidRDefault="00D3718C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326BD" w:rsidRPr="00EB7568" w:rsidTr="001A147F">
        <w:tc>
          <w:tcPr>
            <w:tcW w:w="1951" w:type="dxa"/>
          </w:tcPr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B7568">
              <w:rPr>
                <w:rFonts w:ascii="Verdana" w:hAnsi="Verdana"/>
                <w:b/>
                <w:sz w:val="18"/>
                <w:szCs w:val="18"/>
              </w:rPr>
              <w:t>4 - Redaktionelle rettelser</w:t>
            </w:r>
          </w:p>
          <w:p w:rsidR="000326BD" w:rsidRPr="00EB7568" w:rsidRDefault="000326BD" w:rsidP="001A147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Lovhenvisningen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lokalplanens bestemmelsesdel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er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forældet.</w:t>
            </w:r>
          </w:p>
        </w:tc>
        <w:tc>
          <w:tcPr>
            <w:tcW w:w="4992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Lovhenvisningen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tilrettes </w:t>
            </w:r>
            <w:r>
              <w:rPr>
                <w:rFonts w:ascii="Verdana" w:hAnsi="Verdana"/>
                <w:sz w:val="18"/>
                <w:szCs w:val="18"/>
              </w:rPr>
              <w:t>efter</w:t>
            </w:r>
            <w:r w:rsidRPr="00EB7568">
              <w:rPr>
                <w:rFonts w:ascii="Verdana" w:hAnsi="Verdana"/>
                <w:sz w:val="18"/>
                <w:szCs w:val="18"/>
              </w:rPr>
              <w:t xml:space="preserve"> gældende lov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326BD" w:rsidRPr="00EB7568" w:rsidRDefault="000326BD" w:rsidP="001A147F">
            <w:pPr>
              <w:spacing w:line="276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0326BD" w:rsidRPr="00EB7568" w:rsidRDefault="000326BD" w:rsidP="000326BD">
      <w:pPr>
        <w:spacing w:line="276" w:lineRule="auto"/>
        <w:ind w:left="0"/>
        <w:rPr>
          <w:rFonts w:ascii="Verdana" w:hAnsi="Verdana"/>
        </w:rPr>
      </w:pPr>
    </w:p>
    <w:p w:rsidR="001C06BB" w:rsidRPr="000326BD" w:rsidRDefault="001C06BB" w:rsidP="000326BD">
      <w:pPr>
        <w:rPr>
          <w:szCs w:val="18"/>
        </w:rPr>
      </w:pPr>
    </w:p>
    <w:sectPr w:rsidR="001C06BB" w:rsidRPr="000326BD" w:rsidSect="00E602AD">
      <w:footerReference w:type="default" r:id="rId13"/>
      <w:footerReference w:type="first" r:id="rId14"/>
      <w:type w:val="continuous"/>
      <w:pgSz w:w="16840" w:h="11907" w:orient="landscape" w:code="9"/>
      <w:pgMar w:top="709" w:right="1140" w:bottom="709" w:left="1135" w:header="851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7F" w:rsidRDefault="001A147F">
      <w:r>
        <w:separator/>
      </w:r>
    </w:p>
  </w:endnote>
  <w:endnote w:type="continuationSeparator" w:id="0">
    <w:p w:rsidR="001A147F" w:rsidRDefault="001A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551"/>
      <w:docPartObj>
        <w:docPartGallery w:val="Page Numbers (Bottom of Page)"/>
        <w:docPartUnique/>
      </w:docPartObj>
    </w:sdtPr>
    <w:sdtContent>
      <w:p w:rsidR="001A147F" w:rsidRDefault="0014405C">
        <w:pPr>
          <w:pStyle w:val="Sidefod"/>
          <w:jc w:val="right"/>
        </w:pPr>
        <w:fldSimple w:instr=" PAGE   \* MERGEFORMAT ">
          <w:r w:rsidR="00D64B40">
            <w:rPr>
              <w:noProof/>
            </w:rPr>
            <w:t>2</w:t>
          </w:r>
        </w:fldSimple>
      </w:p>
    </w:sdtContent>
  </w:sdt>
  <w:p w:rsidR="001A147F" w:rsidRDefault="001A147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547"/>
      <w:docPartObj>
        <w:docPartGallery w:val="Page Numbers (Bottom of Page)"/>
        <w:docPartUnique/>
      </w:docPartObj>
    </w:sdtPr>
    <w:sdtContent>
      <w:p w:rsidR="001A147F" w:rsidRDefault="0014405C">
        <w:pPr>
          <w:pStyle w:val="Sidefod"/>
          <w:jc w:val="right"/>
        </w:pPr>
        <w:fldSimple w:instr=" PAGE   \* MERGEFORMAT ">
          <w:r w:rsidR="00D64B40">
            <w:rPr>
              <w:noProof/>
            </w:rPr>
            <w:t>1</w:t>
          </w:r>
        </w:fldSimple>
      </w:p>
    </w:sdtContent>
  </w:sdt>
  <w:p w:rsidR="001A147F" w:rsidRDefault="001A147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7F" w:rsidRDefault="001A147F">
      <w:r>
        <w:separator/>
      </w:r>
    </w:p>
  </w:footnote>
  <w:footnote w:type="continuationSeparator" w:id="0">
    <w:p w:rsidR="001A147F" w:rsidRDefault="001A1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00334874"/>
    <w:multiLevelType w:val="hybridMultilevel"/>
    <w:tmpl w:val="16C4D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7C42"/>
    <w:multiLevelType w:val="hybridMultilevel"/>
    <w:tmpl w:val="86B8B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3A7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1BEC"/>
    <w:multiLevelType w:val="hybridMultilevel"/>
    <w:tmpl w:val="A4B8BC98"/>
    <w:lvl w:ilvl="0" w:tplc="F5E2A6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2A55"/>
    <w:multiLevelType w:val="hybridMultilevel"/>
    <w:tmpl w:val="979CE4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5FE"/>
    <w:multiLevelType w:val="hybridMultilevel"/>
    <w:tmpl w:val="EF58B098"/>
    <w:lvl w:ilvl="0" w:tplc="46C2FB2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95E1D"/>
    <w:multiLevelType w:val="hybridMultilevel"/>
    <w:tmpl w:val="B768AC8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67A31"/>
    <w:multiLevelType w:val="hybridMultilevel"/>
    <w:tmpl w:val="70587E42"/>
    <w:lvl w:ilvl="0" w:tplc="B9F8173A">
      <w:start w:val="1"/>
      <w:numFmt w:val="lowerRoman"/>
      <w:lvlText w:val="%1)"/>
      <w:lvlJc w:val="left"/>
      <w:pPr>
        <w:ind w:left="862" w:hanging="72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CF5EDE"/>
    <w:multiLevelType w:val="hybridMultilevel"/>
    <w:tmpl w:val="333AA4D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17E8A"/>
    <w:multiLevelType w:val="hybridMultilevel"/>
    <w:tmpl w:val="9EC80DE2"/>
    <w:lvl w:ilvl="0" w:tplc="C4C65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5308F"/>
    <w:multiLevelType w:val="hybridMultilevel"/>
    <w:tmpl w:val="2CC616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97FB2"/>
    <w:multiLevelType w:val="hybridMultilevel"/>
    <w:tmpl w:val="6BCCF5A8"/>
    <w:lvl w:ilvl="0" w:tplc="0406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2408CD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6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600E7"/>
    <w:multiLevelType w:val="hybridMultilevel"/>
    <w:tmpl w:val="21A04D52"/>
    <w:lvl w:ilvl="0" w:tplc="85B4B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2112873"/>
    <w:multiLevelType w:val="hybridMultilevel"/>
    <w:tmpl w:val="02E2D2B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B0ADC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8035F"/>
    <w:multiLevelType w:val="hybridMultilevel"/>
    <w:tmpl w:val="D264C94E"/>
    <w:lvl w:ilvl="0" w:tplc="2AE4F05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659D7"/>
    <w:multiLevelType w:val="hybridMultilevel"/>
    <w:tmpl w:val="FEA83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D3FCC"/>
    <w:multiLevelType w:val="hybridMultilevel"/>
    <w:tmpl w:val="86B8B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C50FA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F361D"/>
    <w:multiLevelType w:val="hybridMultilevel"/>
    <w:tmpl w:val="B52259B8"/>
    <w:lvl w:ilvl="0" w:tplc="EE1089B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B1742"/>
    <w:multiLevelType w:val="hybridMultilevel"/>
    <w:tmpl w:val="6A3C12A0"/>
    <w:lvl w:ilvl="0" w:tplc="87DA3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45B1C"/>
    <w:multiLevelType w:val="hybridMultilevel"/>
    <w:tmpl w:val="F078D2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52F7"/>
    <w:multiLevelType w:val="hybridMultilevel"/>
    <w:tmpl w:val="299CB512"/>
    <w:lvl w:ilvl="0" w:tplc="5E4879B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92AD6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F3725"/>
    <w:multiLevelType w:val="hybridMultilevel"/>
    <w:tmpl w:val="B02AEC3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E72DA"/>
    <w:multiLevelType w:val="hybridMultilevel"/>
    <w:tmpl w:val="66CE5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F2C0E"/>
    <w:multiLevelType w:val="hybridMultilevel"/>
    <w:tmpl w:val="A40614B8"/>
    <w:lvl w:ilvl="0" w:tplc="132E2BF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8526F"/>
    <w:multiLevelType w:val="hybridMultilevel"/>
    <w:tmpl w:val="6EFE6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64724"/>
    <w:multiLevelType w:val="hybridMultilevel"/>
    <w:tmpl w:val="FE3496AA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C905BC2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5704"/>
    <w:multiLevelType w:val="hybridMultilevel"/>
    <w:tmpl w:val="1E80723C"/>
    <w:lvl w:ilvl="0" w:tplc="5E4879B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B508D"/>
    <w:multiLevelType w:val="hybridMultilevel"/>
    <w:tmpl w:val="89A61FB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279C6"/>
    <w:multiLevelType w:val="hybridMultilevel"/>
    <w:tmpl w:val="C6A8B8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543BD"/>
    <w:multiLevelType w:val="hybridMultilevel"/>
    <w:tmpl w:val="D1E036A8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337C3"/>
    <w:multiLevelType w:val="hybridMultilevel"/>
    <w:tmpl w:val="DBAE5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33121"/>
    <w:multiLevelType w:val="hybridMultilevel"/>
    <w:tmpl w:val="4A04DF54"/>
    <w:lvl w:ilvl="0" w:tplc="2B84BB3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82931"/>
    <w:multiLevelType w:val="hybridMultilevel"/>
    <w:tmpl w:val="E4C274B6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4671F9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A7F9F"/>
    <w:multiLevelType w:val="hybridMultilevel"/>
    <w:tmpl w:val="BEC2C54A"/>
    <w:lvl w:ilvl="0" w:tplc="0D1AECD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5461FC"/>
    <w:multiLevelType w:val="hybridMultilevel"/>
    <w:tmpl w:val="D39460F4"/>
    <w:lvl w:ilvl="0" w:tplc="64B260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67C3366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016A6"/>
    <w:multiLevelType w:val="hybridMultilevel"/>
    <w:tmpl w:val="AF8C2D8E"/>
    <w:lvl w:ilvl="0" w:tplc="87229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F5820C3"/>
    <w:multiLevelType w:val="hybridMultilevel"/>
    <w:tmpl w:val="55D6468A"/>
    <w:lvl w:ilvl="0" w:tplc="1CBE13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32"/>
  </w:num>
  <w:num w:numId="5">
    <w:abstractNumId w:val="7"/>
  </w:num>
  <w:num w:numId="6">
    <w:abstractNumId w:val="34"/>
  </w:num>
  <w:num w:numId="7">
    <w:abstractNumId w:val="9"/>
  </w:num>
  <w:num w:numId="8">
    <w:abstractNumId w:val="21"/>
  </w:num>
  <w:num w:numId="9">
    <w:abstractNumId w:val="42"/>
  </w:num>
  <w:num w:numId="10">
    <w:abstractNumId w:val="40"/>
  </w:num>
  <w:num w:numId="11">
    <w:abstractNumId w:val="5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8"/>
  </w:num>
  <w:num w:numId="16">
    <w:abstractNumId w:val="17"/>
  </w:num>
  <w:num w:numId="17">
    <w:abstractNumId w:val="1"/>
  </w:num>
  <w:num w:numId="18">
    <w:abstractNumId w:val="35"/>
  </w:num>
  <w:num w:numId="19">
    <w:abstractNumId w:val="2"/>
  </w:num>
  <w:num w:numId="20">
    <w:abstractNumId w:val="18"/>
  </w:num>
  <w:num w:numId="21">
    <w:abstractNumId w:val="33"/>
  </w:num>
  <w:num w:numId="22">
    <w:abstractNumId w:val="26"/>
  </w:num>
  <w:num w:numId="23">
    <w:abstractNumId w:val="28"/>
  </w:num>
  <w:num w:numId="24">
    <w:abstractNumId w:val="22"/>
  </w:num>
  <w:num w:numId="25">
    <w:abstractNumId w:val="25"/>
  </w:num>
  <w:num w:numId="26">
    <w:abstractNumId w:val="3"/>
  </w:num>
  <w:num w:numId="27">
    <w:abstractNumId w:val="14"/>
  </w:num>
  <w:num w:numId="28">
    <w:abstractNumId w:val="38"/>
  </w:num>
  <w:num w:numId="29">
    <w:abstractNumId w:val="15"/>
  </w:num>
  <w:num w:numId="30">
    <w:abstractNumId w:val="19"/>
  </w:num>
  <w:num w:numId="31">
    <w:abstractNumId w:val="30"/>
  </w:num>
  <w:num w:numId="32">
    <w:abstractNumId w:val="41"/>
  </w:num>
  <w:num w:numId="33">
    <w:abstractNumId w:val="4"/>
  </w:num>
  <w:num w:numId="34">
    <w:abstractNumId w:val="24"/>
  </w:num>
  <w:num w:numId="35">
    <w:abstractNumId w:val="11"/>
  </w:num>
  <w:num w:numId="36">
    <w:abstractNumId w:val="43"/>
  </w:num>
  <w:num w:numId="37">
    <w:abstractNumId w:val="29"/>
  </w:num>
  <w:num w:numId="38">
    <w:abstractNumId w:val="31"/>
  </w:num>
  <w:num w:numId="39">
    <w:abstractNumId w:val="27"/>
  </w:num>
  <w:num w:numId="40">
    <w:abstractNumId w:val="20"/>
  </w:num>
  <w:num w:numId="41">
    <w:abstractNumId w:val="16"/>
  </w:num>
  <w:num w:numId="42">
    <w:abstractNumId w:val="36"/>
  </w:num>
  <w:num w:numId="43">
    <w:abstractNumId w:val="23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AB7253"/>
    <w:rsid w:val="000008C5"/>
    <w:rsid w:val="00003FC0"/>
    <w:rsid w:val="000050B6"/>
    <w:rsid w:val="00006091"/>
    <w:rsid w:val="000127EC"/>
    <w:rsid w:val="00013B16"/>
    <w:rsid w:val="000147AF"/>
    <w:rsid w:val="000150EA"/>
    <w:rsid w:val="00017B8C"/>
    <w:rsid w:val="00020A5C"/>
    <w:rsid w:val="00021FCA"/>
    <w:rsid w:val="0002275D"/>
    <w:rsid w:val="00031AF3"/>
    <w:rsid w:val="000320ED"/>
    <w:rsid w:val="000326BD"/>
    <w:rsid w:val="00032DEF"/>
    <w:rsid w:val="0003320C"/>
    <w:rsid w:val="000334A4"/>
    <w:rsid w:val="00033A30"/>
    <w:rsid w:val="0003482B"/>
    <w:rsid w:val="0004389A"/>
    <w:rsid w:val="00043BAF"/>
    <w:rsid w:val="000475CD"/>
    <w:rsid w:val="000476D6"/>
    <w:rsid w:val="0005234C"/>
    <w:rsid w:val="00053530"/>
    <w:rsid w:val="0005422F"/>
    <w:rsid w:val="00054553"/>
    <w:rsid w:val="0005668C"/>
    <w:rsid w:val="00060584"/>
    <w:rsid w:val="000621E2"/>
    <w:rsid w:val="0006415D"/>
    <w:rsid w:val="00065782"/>
    <w:rsid w:val="0007367E"/>
    <w:rsid w:val="000752C4"/>
    <w:rsid w:val="00075C66"/>
    <w:rsid w:val="00077E53"/>
    <w:rsid w:val="0008357E"/>
    <w:rsid w:val="00084D05"/>
    <w:rsid w:val="00085894"/>
    <w:rsid w:val="00091571"/>
    <w:rsid w:val="0009277B"/>
    <w:rsid w:val="00092E7E"/>
    <w:rsid w:val="00096D2D"/>
    <w:rsid w:val="000978A2"/>
    <w:rsid w:val="00097A17"/>
    <w:rsid w:val="000A119A"/>
    <w:rsid w:val="000A2778"/>
    <w:rsid w:val="000A4A07"/>
    <w:rsid w:val="000A60F5"/>
    <w:rsid w:val="000A6288"/>
    <w:rsid w:val="000A6EE6"/>
    <w:rsid w:val="000C0F68"/>
    <w:rsid w:val="000C34EF"/>
    <w:rsid w:val="000C3E23"/>
    <w:rsid w:val="000C4755"/>
    <w:rsid w:val="000C48B9"/>
    <w:rsid w:val="000C5646"/>
    <w:rsid w:val="000C7F69"/>
    <w:rsid w:val="000D0906"/>
    <w:rsid w:val="000D5C71"/>
    <w:rsid w:val="000D6548"/>
    <w:rsid w:val="000D799D"/>
    <w:rsid w:val="000E019A"/>
    <w:rsid w:val="000E295A"/>
    <w:rsid w:val="000E36FA"/>
    <w:rsid w:val="000E5C97"/>
    <w:rsid w:val="000F25F2"/>
    <w:rsid w:val="000F44A4"/>
    <w:rsid w:val="00110FE1"/>
    <w:rsid w:val="001119FA"/>
    <w:rsid w:val="00115129"/>
    <w:rsid w:val="001208BA"/>
    <w:rsid w:val="00120BA3"/>
    <w:rsid w:val="00124D54"/>
    <w:rsid w:val="00132B66"/>
    <w:rsid w:val="00136D1D"/>
    <w:rsid w:val="00142C3F"/>
    <w:rsid w:val="0014405C"/>
    <w:rsid w:val="001448AD"/>
    <w:rsid w:val="00147272"/>
    <w:rsid w:val="001503B8"/>
    <w:rsid w:val="001527A2"/>
    <w:rsid w:val="00152D72"/>
    <w:rsid w:val="001535B1"/>
    <w:rsid w:val="00155401"/>
    <w:rsid w:val="00155D38"/>
    <w:rsid w:val="00157330"/>
    <w:rsid w:val="00157D57"/>
    <w:rsid w:val="00167699"/>
    <w:rsid w:val="00175BE6"/>
    <w:rsid w:val="00186113"/>
    <w:rsid w:val="00191A88"/>
    <w:rsid w:val="00191BF7"/>
    <w:rsid w:val="0019676E"/>
    <w:rsid w:val="00197064"/>
    <w:rsid w:val="00197ADA"/>
    <w:rsid w:val="001A147F"/>
    <w:rsid w:val="001B0EEC"/>
    <w:rsid w:val="001B1E26"/>
    <w:rsid w:val="001B1EB3"/>
    <w:rsid w:val="001B38EF"/>
    <w:rsid w:val="001B5B84"/>
    <w:rsid w:val="001B64CA"/>
    <w:rsid w:val="001C06BB"/>
    <w:rsid w:val="001C4F76"/>
    <w:rsid w:val="001C6C3B"/>
    <w:rsid w:val="001D1625"/>
    <w:rsid w:val="001E0C97"/>
    <w:rsid w:val="001E1B3D"/>
    <w:rsid w:val="001E3034"/>
    <w:rsid w:val="001E63BD"/>
    <w:rsid w:val="001E68E7"/>
    <w:rsid w:val="001E7C4C"/>
    <w:rsid w:val="001F0B64"/>
    <w:rsid w:val="001F0BEB"/>
    <w:rsid w:val="001F4BE2"/>
    <w:rsid w:val="0020053F"/>
    <w:rsid w:val="00202633"/>
    <w:rsid w:val="002125EC"/>
    <w:rsid w:val="00212967"/>
    <w:rsid w:val="00215DC1"/>
    <w:rsid w:val="00216FBD"/>
    <w:rsid w:val="00220A89"/>
    <w:rsid w:val="00222759"/>
    <w:rsid w:val="0023373F"/>
    <w:rsid w:val="0023384E"/>
    <w:rsid w:val="00236680"/>
    <w:rsid w:val="0023739D"/>
    <w:rsid w:val="00241FF7"/>
    <w:rsid w:val="00243427"/>
    <w:rsid w:val="00243F33"/>
    <w:rsid w:val="00247989"/>
    <w:rsid w:val="00254FBB"/>
    <w:rsid w:val="0025791F"/>
    <w:rsid w:val="002607DF"/>
    <w:rsid w:val="00263226"/>
    <w:rsid w:val="00264280"/>
    <w:rsid w:val="00265526"/>
    <w:rsid w:val="00265B56"/>
    <w:rsid w:val="002700A6"/>
    <w:rsid w:val="00272614"/>
    <w:rsid w:val="002727CC"/>
    <w:rsid w:val="00272D91"/>
    <w:rsid w:val="002773B0"/>
    <w:rsid w:val="002805AF"/>
    <w:rsid w:val="002822BF"/>
    <w:rsid w:val="00291578"/>
    <w:rsid w:val="00292262"/>
    <w:rsid w:val="00293DA2"/>
    <w:rsid w:val="00294547"/>
    <w:rsid w:val="00295853"/>
    <w:rsid w:val="002A0833"/>
    <w:rsid w:val="002A3A7F"/>
    <w:rsid w:val="002A64EC"/>
    <w:rsid w:val="002A6CFA"/>
    <w:rsid w:val="002B2F67"/>
    <w:rsid w:val="002B789C"/>
    <w:rsid w:val="002C2CAA"/>
    <w:rsid w:val="002C4E21"/>
    <w:rsid w:val="002D2A09"/>
    <w:rsid w:val="002D402E"/>
    <w:rsid w:val="002D5490"/>
    <w:rsid w:val="002D7AA3"/>
    <w:rsid w:val="002E3680"/>
    <w:rsid w:val="002E4CB7"/>
    <w:rsid w:val="002E5AD5"/>
    <w:rsid w:val="002E6FEA"/>
    <w:rsid w:val="002F1377"/>
    <w:rsid w:val="002F247C"/>
    <w:rsid w:val="002F7CC9"/>
    <w:rsid w:val="003000E2"/>
    <w:rsid w:val="003009F3"/>
    <w:rsid w:val="00302444"/>
    <w:rsid w:val="00304754"/>
    <w:rsid w:val="0031095C"/>
    <w:rsid w:val="00311117"/>
    <w:rsid w:val="00311E24"/>
    <w:rsid w:val="00312288"/>
    <w:rsid w:val="00313273"/>
    <w:rsid w:val="003162D1"/>
    <w:rsid w:val="00317BD4"/>
    <w:rsid w:val="00324FCE"/>
    <w:rsid w:val="003256D4"/>
    <w:rsid w:val="00326C14"/>
    <w:rsid w:val="003305A1"/>
    <w:rsid w:val="00331CC4"/>
    <w:rsid w:val="003331F7"/>
    <w:rsid w:val="003344FA"/>
    <w:rsid w:val="0033735B"/>
    <w:rsid w:val="00337C7B"/>
    <w:rsid w:val="00346C6D"/>
    <w:rsid w:val="00354186"/>
    <w:rsid w:val="0036451D"/>
    <w:rsid w:val="003654DA"/>
    <w:rsid w:val="003669A2"/>
    <w:rsid w:val="003677B9"/>
    <w:rsid w:val="00367E4B"/>
    <w:rsid w:val="00371B92"/>
    <w:rsid w:val="00374382"/>
    <w:rsid w:val="0037631E"/>
    <w:rsid w:val="00377D8B"/>
    <w:rsid w:val="0038328E"/>
    <w:rsid w:val="003A023E"/>
    <w:rsid w:val="003A2618"/>
    <w:rsid w:val="003A6678"/>
    <w:rsid w:val="003B0F5E"/>
    <w:rsid w:val="003B17AC"/>
    <w:rsid w:val="003B1E3D"/>
    <w:rsid w:val="003B35D0"/>
    <w:rsid w:val="003B38B7"/>
    <w:rsid w:val="003B4558"/>
    <w:rsid w:val="003B78CF"/>
    <w:rsid w:val="003C11C2"/>
    <w:rsid w:val="003C1551"/>
    <w:rsid w:val="003C4B4C"/>
    <w:rsid w:val="003C61D6"/>
    <w:rsid w:val="003C716D"/>
    <w:rsid w:val="003D7582"/>
    <w:rsid w:val="003D7C81"/>
    <w:rsid w:val="003E0902"/>
    <w:rsid w:val="003E3CBB"/>
    <w:rsid w:val="003E61EA"/>
    <w:rsid w:val="003E65BD"/>
    <w:rsid w:val="003E7201"/>
    <w:rsid w:val="003F09E8"/>
    <w:rsid w:val="003F1739"/>
    <w:rsid w:val="003F70BC"/>
    <w:rsid w:val="00400F6D"/>
    <w:rsid w:val="00401779"/>
    <w:rsid w:val="0040226F"/>
    <w:rsid w:val="00403C42"/>
    <w:rsid w:val="004112B3"/>
    <w:rsid w:val="00411591"/>
    <w:rsid w:val="004140E5"/>
    <w:rsid w:val="004215C1"/>
    <w:rsid w:val="00423770"/>
    <w:rsid w:val="004265F7"/>
    <w:rsid w:val="00427813"/>
    <w:rsid w:val="0043040A"/>
    <w:rsid w:val="00432839"/>
    <w:rsid w:val="00433269"/>
    <w:rsid w:val="00433BBB"/>
    <w:rsid w:val="004351B5"/>
    <w:rsid w:val="00436F03"/>
    <w:rsid w:val="004372C6"/>
    <w:rsid w:val="00441560"/>
    <w:rsid w:val="00443718"/>
    <w:rsid w:val="004441FA"/>
    <w:rsid w:val="0044487E"/>
    <w:rsid w:val="00451A07"/>
    <w:rsid w:val="00451FB2"/>
    <w:rsid w:val="00455436"/>
    <w:rsid w:val="004559C0"/>
    <w:rsid w:val="00456B84"/>
    <w:rsid w:val="00457755"/>
    <w:rsid w:val="0046002A"/>
    <w:rsid w:val="00460190"/>
    <w:rsid w:val="00460FD7"/>
    <w:rsid w:val="00464405"/>
    <w:rsid w:val="00464409"/>
    <w:rsid w:val="00467C5F"/>
    <w:rsid w:val="00472E3D"/>
    <w:rsid w:val="00476B9E"/>
    <w:rsid w:val="00477AC3"/>
    <w:rsid w:val="004801B8"/>
    <w:rsid w:val="004805E2"/>
    <w:rsid w:val="00485E9B"/>
    <w:rsid w:val="0049158C"/>
    <w:rsid w:val="00493E67"/>
    <w:rsid w:val="00494860"/>
    <w:rsid w:val="00496A69"/>
    <w:rsid w:val="00496E9F"/>
    <w:rsid w:val="004A065A"/>
    <w:rsid w:val="004A2709"/>
    <w:rsid w:val="004A2F2D"/>
    <w:rsid w:val="004A4FCA"/>
    <w:rsid w:val="004A514D"/>
    <w:rsid w:val="004A784D"/>
    <w:rsid w:val="004A7DBD"/>
    <w:rsid w:val="004B19C5"/>
    <w:rsid w:val="004B23B4"/>
    <w:rsid w:val="004B414A"/>
    <w:rsid w:val="004B572D"/>
    <w:rsid w:val="004B5CC0"/>
    <w:rsid w:val="004B75DC"/>
    <w:rsid w:val="004C229A"/>
    <w:rsid w:val="004C3746"/>
    <w:rsid w:val="004C720A"/>
    <w:rsid w:val="004D0EDC"/>
    <w:rsid w:val="004D38ED"/>
    <w:rsid w:val="004E2F4F"/>
    <w:rsid w:val="004E36B9"/>
    <w:rsid w:val="004F1D98"/>
    <w:rsid w:val="004F413A"/>
    <w:rsid w:val="00500507"/>
    <w:rsid w:val="00500A30"/>
    <w:rsid w:val="00502661"/>
    <w:rsid w:val="0050300E"/>
    <w:rsid w:val="0050403E"/>
    <w:rsid w:val="00504AAD"/>
    <w:rsid w:val="00505978"/>
    <w:rsid w:val="005139D5"/>
    <w:rsid w:val="00520787"/>
    <w:rsid w:val="00520959"/>
    <w:rsid w:val="00521B5E"/>
    <w:rsid w:val="00521D85"/>
    <w:rsid w:val="0052201F"/>
    <w:rsid w:val="00522145"/>
    <w:rsid w:val="005224CE"/>
    <w:rsid w:val="00525450"/>
    <w:rsid w:val="00526680"/>
    <w:rsid w:val="00526CD4"/>
    <w:rsid w:val="005332A3"/>
    <w:rsid w:val="00535E63"/>
    <w:rsid w:val="00537174"/>
    <w:rsid w:val="0053720B"/>
    <w:rsid w:val="00537A96"/>
    <w:rsid w:val="00540FD9"/>
    <w:rsid w:val="00545718"/>
    <w:rsid w:val="00545918"/>
    <w:rsid w:val="00546BF9"/>
    <w:rsid w:val="0055231E"/>
    <w:rsid w:val="0055611D"/>
    <w:rsid w:val="00556FB1"/>
    <w:rsid w:val="00557992"/>
    <w:rsid w:val="00565007"/>
    <w:rsid w:val="00565E99"/>
    <w:rsid w:val="00567CC8"/>
    <w:rsid w:val="00570E2B"/>
    <w:rsid w:val="005772BB"/>
    <w:rsid w:val="005776C3"/>
    <w:rsid w:val="005779CD"/>
    <w:rsid w:val="00583685"/>
    <w:rsid w:val="0058619A"/>
    <w:rsid w:val="00587A4B"/>
    <w:rsid w:val="00590B53"/>
    <w:rsid w:val="005A7D91"/>
    <w:rsid w:val="005B108E"/>
    <w:rsid w:val="005B2EB0"/>
    <w:rsid w:val="005B3D9A"/>
    <w:rsid w:val="005B3EDC"/>
    <w:rsid w:val="005B599F"/>
    <w:rsid w:val="005B5E87"/>
    <w:rsid w:val="005B678E"/>
    <w:rsid w:val="005C1115"/>
    <w:rsid w:val="005C4ABA"/>
    <w:rsid w:val="005C5D59"/>
    <w:rsid w:val="005C66CF"/>
    <w:rsid w:val="005C6943"/>
    <w:rsid w:val="005D1E45"/>
    <w:rsid w:val="005D29B0"/>
    <w:rsid w:val="005D57F8"/>
    <w:rsid w:val="005E15E0"/>
    <w:rsid w:val="005E1604"/>
    <w:rsid w:val="005E28B0"/>
    <w:rsid w:val="005E2938"/>
    <w:rsid w:val="005E6623"/>
    <w:rsid w:val="005F23EC"/>
    <w:rsid w:val="005F27ED"/>
    <w:rsid w:val="005F46FF"/>
    <w:rsid w:val="005F7C57"/>
    <w:rsid w:val="00600A8B"/>
    <w:rsid w:val="006017AC"/>
    <w:rsid w:val="00602EB9"/>
    <w:rsid w:val="00610FE6"/>
    <w:rsid w:val="00611C18"/>
    <w:rsid w:val="00612089"/>
    <w:rsid w:val="00615DEA"/>
    <w:rsid w:val="00616704"/>
    <w:rsid w:val="00616E91"/>
    <w:rsid w:val="0062027E"/>
    <w:rsid w:val="006244E1"/>
    <w:rsid w:val="00625173"/>
    <w:rsid w:val="00632DBD"/>
    <w:rsid w:val="00637D9F"/>
    <w:rsid w:val="00640567"/>
    <w:rsid w:val="00646644"/>
    <w:rsid w:val="00646CBF"/>
    <w:rsid w:val="00647482"/>
    <w:rsid w:val="006534E7"/>
    <w:rsid w:val="00654A65"/>
    <w:rsid w:val="0065588A"/>
    <w:rsid w:val="006573BF"/>
    <w:rsid w:val="006577FE"/>
    <w:rsid w:val="0066589F"/>
    <w:rsid w:val="00671FE1"/>
    <w:rsid w:val="0067222A"/>
    <w:rsid w:val="00673039"/>
    <w:rsid w:val="00676A23"/>
    <w:rsid w:val="00676E4E"/>
    <w:rsid w:val="00681777"/>
    <w:rsid w:val="00681B51"/>
    <w:rsid w:val="00682576"/>
    <w:rsid w:val="00692684"/>
    <w:rsid w:val="006A27D1"/>
    <w:rsid w:val="006B1C74"/>
    <w:rsid w:val="006B1F4A"/>
    <w:rsid w:val="006B7A4A"/>
    <w:rsid w:val="006C01D3"/>
    <w:rsid w:val="006C2323"/>
    <w:rsid w:val="006C267A"/>
    <w:rsid w:val="006C5118"/>
    <w:rsid w:val="006C73E1"/>
    <w:rsid w:val="006C7A74"/>
    <w:rsid w:val="006D59FB"/>
    <w:rsid w:val="006D6F3F"/>
    <w:rsid w:val="006D71B5"/>
    <w:rsid w:val="006D7A2A"/>
    <w:rsid w:val="006E009B"/>
    <w:rsid w:val="006E1E01"/>
    <w:rsid w:val="006E70FE"/>
    <w:rsid w:val="006E7908"/>
    <w:rsid w:val="006F0E2C"/>
    <w:rsid w:val="006F39CC"/>
    <w:rsid w:val="006F5621"/>
    <w:rsid w:val="00700CBD"/>
    <w:rsid w:val="00701FD3"/>
    <w:rsid w:val="00703C17"/>
    <w:rsid w:val="007060CD"/>
    <w:rsid w:val="00710524"/>
    <w:rsid w:val="007131AA"/>
    <w:rsid w:val="007144B9"/>
    <w:rsid w:val="0071464B"/>
    <w:rsid w:val="0071476E"/>
    <w:rsid w:val="007204EA"/>
    <w:rsid w:val="007215E7"/>
    <w:rsid w:val="00722B2C"/>
    <w:rsid w:val="0072471E"/>
    <w:rsid w:val="00727C38"/>
    <w:rsid w:val="00727CDD"/>
    <w:rsid w:val="00727FC7"/>
    <w:rsid w:val="00730A34"/>
    <w:rsid w:val="00733BFF"/>
    <w:rsid w:val="00734C99"/>
    <w:rsid w:val="007360AD"/>
    <w:rsid w:val="0074438D"/>
    <w:rsid w:val="00744F78"/>
    <w:rsid w:val="007452BF"/>
    <w:rsid w:val="00746656"/>
    <w:rsid w:val="0074769D"/>
    <w:rsid w:val="00751E5B"/>
    <w:rsid w:val="00754AC1"/>
    <w:rsid w:val="00756636"/>
    <w:rsid w:val="00760DAB"/>
    <w:rsid w:val="00766DB7"/>
    <w:rsid w:val="0077194A"/>
    <w:rsid w:val="00773E3D"/>
    <w:rsid w:val="00777B63"/>
    <w:rsid w:val="00777CE0"/>
    <w:rsid w:val="0078054D"/>
    <w:rsid w:val="007805BE"/>
    <w:rsid w:val="00780B1F"/>
    <w:rsid w:val="00780B47"/>
    <w:rsid w:val="0079237A"/>
    <w:rsid w:val="00792C78"/>
    <w:rsid w:val="00793D55"/>
    <w:rsid w:val="00797F94"/>
    <w:rsid w:val="007A1A85"/>
    <w:rsid w:val="007A370F"/>
    <w:rsid w:val="007A6FEE"/>
    <w:rsid w:val="007B02EE"/>
    <w:rsid w:val="007B2CD6"/>
    <w:rsid w:val="007B69D8"/>
    <w:rsid w:val="007B7283"/>
    <w:rsid w:val="007B738E"/>
    <w:rsid w:val="007C2056"/>
    <w:rsid w:val="007C2290"/>
    <w:rsid w:val="007C3C8D"/>
    <w:rsid w:val="007C4AAD"/>
    <w:rsid w:val="007D2727"/>
    <w:rsid w:val="007D2CE3"/>
    <w:rsid w:val="007D311D"/>
    <w:rsid w:val="007D33AA"/>
    <w:rsid w:val="007D4F1C"/>
    <w:rsid w:val="007D684B"/>
    <w:rsid w:val="007D6FDA"/>
    <w:rsid w:val="007E12B7"/>
    <w:rsid w:val="007E14CC"/>
    <w:rsid w:val="007E322D"/>
    <w:rsid w:val="007E4B13"/>
    <w:rsid w:val="007E4C42"/>
    <w:rsid w:val="007E51DC"/>
    <w:rsid w:val="007F3FE0"/>
    <w:rsid w:val="007F4490"/>
    <w:rsid w:val="007F53B2"/>
    <w:rsid w:val="007F5F4E"/>
    <w:rsid w:val="007F6BEA"/>
    <w:rsid w:val="007F7AAC"/>
    <w:rsid w:val="007F7D67"/>
    <w:rsid w:val="00800B76"/>
    <w:rsid w:val="00801522"/>
    <w:rsid w:val="0080200A"/>
    <w:rsid w:val="00804496"/>
    <w:rsid w:val="008045EE"/>
    <w:rsid w:val="00804D6A"/>
    <w:rsid w:val="00806C71"/>
    <w:rsid w:val="0081144C"/>
    <w:rsid w:val="0081540D"/>
    <w:rsid w:val="0082060D"/>
    <w:rsid w:val="008210AD"/>
    <w:rsid w:val="0082444C"/>
    <w:rsid w:val="008244FE"/>
    <w:rsid w:val="008247B6"/>
    <w:rsid w:val="00825F4E"/>
    <w:rsid w:val="00826C4C"/>
    <w:rsid w:val="0083179C"/>
    <w:rsid w:val="00833752"/>
    <w:rsid w:val="00837A9A"/>
    <w:rsid w:val="00837F69"/>
    <w:rsid w:val="00840FAF"/>
    <w:rsid w:val="00846B10"/>
    <w:rsid w:val="00846B92"/>
    <w:rsid w:val="00852019"/>
    <w:rsid w:val="008552A2"/>
    <w:rsid w:val="00857C98"/>
    <w:rsid w:val="00857F3D"/>
    <w:rsid w:val="00860B3E"/>
    <w:rsid w:val="00863623"/>
    <w:rsid w:val="008657C7"/>
    <w:rsid w:val="00865BD3"/>
    <w:rsid w:val="0086680B"/>
    <w:rsid w:val="008734C9"/>
    <w:rsid w:val="008770F6"/>
    <w:rsid w:val="0088025C"/>
    <w:rsid w:val="008846DB"/>
    <w:rsid w:val="00885C19"/>
    <w:rsid w:val="00887342"/>
    <w:rsid w:val="008876F3"/>
    <w:rsid w:val="00890B12"/>
    <w:rsid w:val="00891323"/>
    <w:rsid w:val="00892774"/>
    <w:rsid w:val="00895FEB"/>
    <w:rsid w:val="00897104"/>
    <w:rsid w:val="00897FDA"/>
    <w:rsid w:val="008A3372"/>
    <w:rsid w:val="008A4D06"/>
    <w:rsid w:val="008A6824"/>
    <w:rsid w:val="008A6D51"/>
    <w:rsid w:val="008B44DA"/>
    <w:rsid w:val="008B552B"/>
    <w:rsid w:val="008B79C3"/>
    <w:rsid w:val="008C486F"/>
    <w:rsid w:val="008D1910"/>
    <w:rsid w:val="008D4D97"/>
    <w:rsid w:val="008D560E"/>
    <w:rsid w:val="008D6E50"/>
    <w:rsid w:val="008E10E1"/>
    <w:rsid w:val="008E4CA0"/>
    <w:rsid w:val="008E652C"/>
    <w:rsid w:val="008E6643"/>
    <w:rsid w:val="008E77EE"/>
    <w:rsid w:val="008F4668"/>
    <w:rsid w:val="008F6458"/>
    <w:rsid w:val="00903057"/>
    <w:rsid w:val="00903337"/>
    <w:rsid w:val="00904DF7"/>
    <w:rsid w:val="009059B1"/>
    <w:rsid w:val="009072CB"/>
    <w:rsid w:val="009073CB"/>
    <w:rsid w:val="00907543"/>
    <w:rsid w:val="009079B8"/>
    <w:rsid w:val="009100A8"/>
    <w:rsid w:val="0091368D"/>
    <w:rsid w:val="00920804"/>
    <w:rsid w:val="00922332"/>
    <w:rsid w:val="00925F97"/>
    <w:rsid w:val="00927B30"/>
    <w:rsid w:val="0093024A"/>
    <w:rsid w:val="00934EEC"/>
    <w:rsid w:val="00937174"/>
    <w:rsid w:val="009408F9"/>
    <w:rsid w:val="00943C12"/>
    <w:rsid w:val="009445B8"/>
    <w:rsid w:val="00947180"/>
    <w:rsid w:val="009476B1"/>
    <w:rsid w:val="009509E5"/>
    <w:rsid w:val="009514A1"/>
    <w:rsid w:val="0095311D"/>
    <w:rsid w:val="00953635"/>
    <w:rsid w:val="00955C79"/>
    <w:rsid w:val="0096023C"/>
    <w:rsid w:val="00962735"/>
    <w:rsid w:val="00962DD4"/>
    <w:rsid w:val="00963EE1"/>
    <w:rsid w:val="00965247"/>
    <w:rsid w:val="00965DC6"/>
    <w:rsid w:val="00971A6E"/>
    <w:rsid w:val="0097293F"/>
    <w:rsid w:val="0097308A"/>
    <w:rsid w:val="00974E27"/>
    <w:rsid w:val="00975519"/>
    <w:rsid w:val="009806DA"/>
    <w:rsid w:val="00981D8F"/>
    <w:rsid w:val="00984066"/>
    <w:rsid w:val="00986348"/>
    <w:rsid w:val="00987A4D"/>
    <w:rsid w:val="00992C41"/>
    <w:rsid w:val="00992EC7"/>
    <w:rsid w:val="00993D27"/>
    <w:rsid w:val="00994B66"/>
    <w:rsid w:val="009964DB"/>
    <w:rsid w:val="009A1225"/>
    <w:rsid w:val="009A2715"/>
    <w:rsid w:val="009A735A"/>
    <w:rsid w:val="009A756D"/>
    <w:rsid w:val="009B3274"/>
    <w:rsid w:val="009B630A"/>
    <w:rsid w:val="009B71D3"/>
    <w:rsid w:val="009C67C6"/>
    <w:rsid w:val="009D223F"/>
    <w:rsid w:val="009D343B"/>
    <w:rsid w:val="009D6E50"/>
    <w:rsid w:val="009E52F0"/>
    <w:rsid w:val="009E7D50"/>
    <w:rsid w:val="009F1EAD"/>
    <w:rsid w:val="009F53A9"/>
    <w:rsid w:val="009F5941"/>
    <w:rsid w:val="009F69D6"/>
    <w:rsid w:val="009F7DF3"/>
    <w:rsid w:val="00A01C18"/>
    <w:rsid w:val="00A01D42"/>
    <w:rsid w:val="00A060CD"/>
    <w:rsid w:val="00A074A3"/>
    <w:rsid w:val="00A07618"/>
    <w:rsid w:val="00A07988"/>
    <w:rsid w:val="00A10205"/>
    <w:rsid w:val="00A1059A"/>
    <w:rsid w:val="00A138E3"/>
    <w:rsid w:val="00A15E27"/>
    <w:rsid w:val="00A16655"/>
    <w:rsid w:val="00A177AE"/>
    <w:rsid w:val="00A177E6"/>
    <w:rsid w:val="00A21E09"/>
    <w:rsid w:val="00A222CE"/>
    <w:rsid w:val="00A23E18"/>
    <w:rsid w:val="00A24B02"/>
    <w:rsid w:val="00A31B68"/>
    <w:rsid w:val="00A349B9"/>
    <w:rsid w:val="00A4165D"/>
    <w:rsid w:val="00A4532C"/>
    <w:rsid w:val="00A51662"/>
    <w:rsid w:val="00A607A9"/>
    <w:rsid w:val="00A61D8C"/>
    <w:rsid w:val="00A623BB"/>
    <w:rsid w:val="00A629CD"/>
    <w:rsid w:val="00A65F18"/>
    <w:rsid w:val="00A67646"/>
    <w:rsid w:val="00A76937"/>
    <w:rsid w:val="00A80133"/>
    <w:rsid w:val="00A80ACA"/>
    <w:rsid w:val="00A83296"/>
    <w:rsid w:val="00A9288D"/>
    <w:rsid w:val="00A94A8A"/>
    <w:rsid w:val="00A96BD2"/>
    <w:rsid w:val="00A96C3B"/>
    <w:rsid w:val="00AA0062"/>
    <w:rsid w:val="00AA3DB4"/>
    <w:rsid w:val="00AA5750"/>
    <w:rsid w:val="00AA5FD0"/>
    <w:rsid w:val="00AB0BA9"/>
    <w:rsid w:val="00AB2E5A"/>
    <w:rsid w:val="00AB3CEC"/>
    <w:rsid w:val="00AB564F"/>
    <w:rsid w:val="00AB7253"/>
    <w:rsid w:val="00AB7E97"/>
    <w:rsid w:val="00AC490A"/>
    <w:rsid w:val="00AC4CC4"/>
    <w:rsid w:val="00AC4FC3"/>
    <w:rsid w:val="00AD07D3"/>
    <w:rsid w:val="00AD0DF0"/>
    <w:rsid w:val="00AD342E"/>
    <w:rsid w:val="00AD381C"/>
    <w:rsid w:val="00AD418E"/>
    <w:rsid w:val="00AD4394"/>
    <w:rsid w:val="00AD6BFA"/>
    <w:rsid w:val="00AD7928"/>
    <w:rsid w:val="00AE1A23"/>
    <w:rsid w:val="00AE2AB2"/>
    <w:rsid w:val="00AE39C5"/>
    <w:rsid w:val="00AE4504"/>
    <w:rsid w:val="00AE5D4C"/>
    <w:rsid w:val="00AE77B0"/>
    <w:rsid w:val="00AE77C1"/>
    <w:rsid w:val="00AF1D93"/>
    <w:rsid w:val="00AF3D36"/>
    <w:rsid w:val="00AF6CDE"/>
    <w:rsid w:val="00B007CA"/>
    <w:rsid w:val="00B023C0"/>
    <w:rsid w:val="00B04A6A"/>
    <w:rsid w:val="00B16D2C"/>
    <w:rsid w:val="00B1747F"/>
    <w:rsid w:val="00B20521"/>
    <w:rsid w:val="00B21845"/>
    <w:rsid w:val="00B21C3A"/>
    <w:rsid w:val="00B21CBD"/>
    <w:rsid w:val="00B2387D"/>
    <w:rsid w:val="00B27AD9"/>
    <w:rsid w:val="00B309F0"/>
    <w:rsid w:val="00B31981"/>
    <w:rsid w:val="00B36EA8"/>
    <w:rsid w:val="00B4400F"/>
    <w:rsid w:val="00B47F0F"/>
    <w:rsid w:val="00B518EB"/>
    <w:rsid w:val="00B51DA5"/>
    <w:rsid w:val="00B548BF"/>
    <w:rsid w:val="00B61AFD"/>
    <w:rsid w:val="00B61B78"/>
    <w:rsid w:val="00B63229"/>
    <w:rsid w:val="00B63764"/>
    <w:rsid w:val="00B664D2"/>
    <w:rsid w:val="00B737DE"/>
    <w:rsid w:val="00B81545"/>
    <w:rsid w:val="00B85CA0"/>
    <w:rsid w:val="00B86027"/>
    <w:rsid w:val="00B86B70"/>
    <w:rsid w:val="00B90764"/>
    <w:rsid w:val="00B93587"/>
    <w:rsid w:val="00B948D7"/>
    <w:rsid w:val="00BA16BE"/>
    <w:rsid w:val="00BA1D93"/>
    <w:rsid w:val="00BA41EC"/>
    <w:rsid w:val="00BA53E4"/>
    <w:rsid w:val="00BB21BE"/>
    <w:rsid w:val="00BB3EF5"/>
    <w:rsid w:val="00BB4876"/>
    <w:rsid w:val="00BC5505"/>
    <w:rsid w:val="00BD1C2E"/>
    <w:rsid w:val="00BD2FB9"/>
    <w:rsid w:val="00BE0899"/>
    <w:rsid w:val="00BE1205"/>
    <w:rsid w:val="00BE2106"/>
    <w:rsid w:val="00BE2335"/>
    <w:rsid w:val="00BF12B8"/>
    <w:rsid w:val="00BF312B"/>
    <w:rsid w:val="00BF41DC"/>
    <w:rsid w:val="00BF5734"/>
    <w:rsid w:val="00C00867"/>
    <w:rsid w:val="00C01A72"/>
    <w:rsid w:val="00C03EDB"/>
    <w:rsid w:val="00C04309"/>
    <w:rsid w:val="00C04AD9"/>
    <w:rsid w:val="00C07F04"/>
    <w:rsid w:val="00C100AB"/>
    <w:rsid w:val="00C11BBC"/>
    <w:rsid w:val="00C13DB6"/>
    <w:rsid w:val="00C15208"/>
    <w:rsid w:val="00C164AB"/>
    <w:rsid w:val="00C17CC1"/>
    <w:rsid w:val="00C207EF"/>
    <w:rsid w:val="00C22B6F"/>
    <w:rsid w:val="00C2483F"/>
    <w:rsid w:val="00C24D72"/>
    <w:rsid w:val="00C25EBB"/>
    <w:rsid w:val="00C2603A"/>
    <w:rsid w:val="00C301FE"/>
    <w:rsid w:val="00C322F0"/>
    <w:rsid w:val="00C34682"/>
    <w:rsid w:val="00C351A6"/>
    <w:rsid w:val="00C41231"/>
    <w:rsid w:val="00C44415"/>
    <w:rsid w:val="00C4468B"/>
    <w:rsid w:val="00C46017"/>
    <w:rsid w:val="00C570EE"/>
    <w:rsid w:val="00C57522"/>
    <w:rsid w:val="00C62923"/>
    <w:rsid w:val="00C65763"/>
    <w:rsid w:val="00C66FA1"/>
    <w:rsid w:val="00C737F5"/>
    <w:rsid w:val="00C73BAF"/>
    <w:rsid w:val="00C77BA6"/>
    <w:rsid w:val="00C84237"/>
    <w:rsid w:val="00C84454"/>
    <w:rsid w:val="00C84E03"/>
    <w:rsid w:val="00C85466"/>
    <w:rsid w:val="00C86196"/>
    <w:rsid w:val="00C928FD"/>
    <w:rsid w:val="00C93D43"/>
    <w:rsid w:val="00C93E44"/>
    <w:rsid w:val="00C94D0C"/>
    <w:rsid w:val="00C97CBD"/>
    <w:rsid w:val="00CA00AC"/>
    <w:rsid w:val="00CA1D56"/>
    <w:rsid w:val="00CA4DCC"/>
    <w:rsid w:val="00CB071C"/>
    <w:rsid w:val="00CB1583"/>
    <w:rsid w:val="00CB1DD6"/>
    <w:rsid w:val="00CB44AA"/>
    <w:rsid w:val="00CB500D"/>
    <w:rsid w:val="00CC0876"/>
    <w:rsid w:val="00CC2554"/>
    <w:rsid w:val="00CC3998"/>
    <w:rsid w:val="00CC621E"/>
    <w:rsid w:val="00CC628A"/>
    <w:rsid w:val="00CC7E1A"/>
    <w:rsid w:val="00CD17B4"/>
    <w:rsid w:val="00CD4374"/>
    <w:rsid w:val="00CD4BA9"/>
    <w:rsid w:val="00CF0905"/>
    <w:rsid w:val="00CF1CEF"/>
    <w:rsid w:val="00D03DC3"/>
    <w:rsid w:val="00D03E8B"/>
    <w:rsid w:val="00D067E9"/>
    <w:rsid w:val="00D068A4"/>
    <w:rsid w:val="00D06D93"/>
    <w:rsid w:val="00D07B71"/>
    <w:rsid w:val="00D15CE6"/>
    <w:rsid w:val="00D16065"/>
    <w:rsid w:val="00D16D32"/>
    <w:rsid w:val="00D274F2"/>
    <w:rsid w:val="00D33FA1"/>
    <w:rsid w:val="00D349D8"/>
    <w:rsid w:val="00D34C67"/>
    <w:rsid w:val="00D3718C"/>
    <w:rsid w:val="00D37588"/>
    <w:rsid w:val="00D37B38"/>
    <w:rsid w:val="00D414A2"/>
    <w:rsid w:val="00D46BE2"/>
    <w:rsid w:val="00D46E1E"/>
    <w:rsid w:val="00D55387"/>
    <w:rsid w:val="00D56250"/>
    <w:rsid w:val="00D606C0"/>
    <w:rsid w:val="00D62F3B"/>
    <w:rsid w:val="00D64B40"/>
    <w:rsid w:val="00D71A9F"/>
    <w:rsid w:val="00D75EDA"/>
    <w:rsid w:val="00D81AD4"/>
    <w:rsid w:val="00D81BFF"/>
    <w:rsid w:val="00D8608A"/>
    <w:rsid w:val="00D905B5"/>
    <w:rsid w:val="00D92D32"/>
    <w:rsid w:val="00D93B3B"/>
    <w:rsid w:val="00DA025E"/>
    <w:rsid w:val="00DA045E"/>
    <w:rsid w:val="00DA1697"/>
    <w:rsid w:val="00DA1943"/>
    <w:rsid w:val="00DA6A35"/>
    <w:rsid w:val="00DA7861"/>
    <w:rsid w:val="00DB1458"/>
    <w:rsid w:val="00DB47A8"/>
    <w:rsid w:val="00DB6900"/>
    <w:rsid w:val="00DC0A45"/>
    <w:rsid w:val="00DC10A0"/>
    <w:rsid w:val="00DC1C3D"/>
    <w:rsid w:val="00DC1FCE"/>
    <w:rsid w:val="00DC284D"/>
    <w:rsid w:val="00DD591E"/>
    <w:rsid w:val="00DD5AFF"/>
    <w:rsid w:val="00DE571E"/>
    <w:rsid w:val="00DF0ACD"/>
    <w:rsid w:val="00DF0DE4"/>
    <w:rsid w:val="00DF5AF3"/>
    <w:rsid w:val="00E04FF2"/>
    <w:rsid w:val="00E13681"/>
    <w:rsid w:val="00E13F87"/>
    <w:rsid w:val="00E15A66"/>
    <w:rsid w:val="00E1621E"/>
    <w:rsid w:val="00E21DF3"/>
    <w:rsid w:val="00E260BF"/>
    <w:rsid w:val="00E26599"/>
    <w:rsid w:val="00E27A44"/>
    <w:rsid w:val="00E3094F"/>
    <w:rsid w:val="00E3189A"/>
    <w:rsid w:val="00E32167"/>
    <w:rsid w:val="00E360FE"/>
    <w:rsid w:val="00E41B63"/>
    <w:rsid w:val="00E41DA8"/>
    <w:rsid w:val="00E4223F"/>
    <w:rsid w:val="00E4496B"/>
    <w:rsid w:val="00E45253"/>
    <w:rsid w:val="00E46E32"/>
    <w:rsid w:val="00E54CAA"/>
    <w:rsid w:val="00E56FAC"/>
    <w:rsid w:val="00E602AD"/>
    <w:rsid w:val="00E60B36"/>
    <w:rsid w:val="00E64CC9"/>
    <w:rsid w:val="00E668E6"/>
    <w:rsid w:val="00E80097"/>
    <w:rsid w:val="00E811E3"/>
    <w:rsid w:val="00E81A41"/>
    <w:rsid w:val="00E9224E"/>
    <w:rsid w:val="00E95102"/>
    <w:rsid w:val="00E9572D"/>
    <w:rsid w:val="00E96EBB"/>
    <w:rsid w:val="00E97B87"/>
    <w:rsid w:val="00EA005F"/>
    <w:rsid w:val="00EA033B"/>
    <w:rsid w:val="00EA07F9"/>
    <w:rsid w:val="00EA0FC1"/>
    <w:rsid w:val="00EA71F4"/>
    <w:rsid w:val="00EB284F"/>
    <w:rsid w:val="00EB362D"/>
    <w:rsid w:val="00EC3C63"/>
    <w:rsid w:val="00EC785C"/>
    <w:rsid w:val="00ED0F28"/>
    <w:rsid w:val="00ED2640"/>
    <w:rsid w:val="00ED2C0D"/>
    <w:rsid w:val="00ED34FE"/>
    <w:rsid w:val="00ED758A"/>
    <w:rsid w:val="00EE1B4D"/>
    <w:rsid w:val="00EE4371"/>
    <w:rsid w:val="00EE56D5"/>
    <w:rsid w:val="00EE743B"/>
    <w:rsid w:val="00EF1688"/>
    <w:rsid w:val="00EF60F7"/>
    <w:rsid w:val="00EF6552"/>
    <w:rsid w:val="00EF6735"/>
    <w:rsid w:val="00EF6CBE"/>
    <w:rsid w:val="00EF6E08"/>
    <w:rsid w:val="00F141D5"/>
    <w:rsid w:val="00F208FF"/>
    <w:rsid w:val="00F20FCD"/>
    <w:rsid w:val="00F22678"/>
    <w:rsid w:val="00F22991"/>
    <w:rsid w:val="00F230A2"/>
    <w:rsid w:val="00F25FEE"/>
    <w:rsid w:val="00F26CAE"/>
    <w:rsid w:val="00F270DE"/>
    <w:rsid w:val="00F30A18"/>
    <w:rsid w:val="00F33C1F"/>
    <w:rsid w:val="00F36246"/>
    <w:rsid w:val="00F366DA"/>
    <w:rsid w:val="00F37EAE"/>
    <w:rsid w:val="00F40599"/>
    <w:rsid w:val="00F439CC"/>
    <w:rsid w:val="00F464B8"/>
    <w:rsid w:val="00F46509"/>
    <w:rsid w:val="00F52139"/>
    <w:rsid w:val="00F52D83"/>
    <w:rsid w:val="00F5406F"/>
    <w:rsid w:val="00F5620D"/>
    <w:rsid w:val="00F56A94"/>
    <w:rsid w:val="00F610ED"/>
    <w:rsid w:val="00F61851"/>
    <w:rsid w:val="00F619C8"/>
    <w:rsid w:val="00F6381A"/>
    <w:rsid w:val="00F64376"/>
    <w:rsid w:val="00F65558"/>
    <w:rsid w:val="00F66927"/>
    <w:rsid w:val="00F66A17"/>
    <w:rsid w:val="00F719D2"/>
    <w:rsid w:val="00F722E0"/>
    <w:rsid w:val="00F74BB3"/>
    <w:rsid w:val="00F773AB"/>
    <w:rsid w:val="00F779C8"/>
    <w:rsid w:val="00F8034B"/>
    <w:rsid w:val="00F8331F"/>
    <w:rsid w:val="00F848FC"/>
    <w:rsid w:val="00F84A74"/>
    <w:rsid w:val="00F929BA"/>
    <w:rsid w:val="00F936F7"/>
    <w:rsid w:val="00F948AC"/>
    <w:rsid w:val="00FA0B9F"/>
    <w:rsid w:val="00FA2880"/>
    <w:rsid w:val="00FA5FED"/>
    <w:rsid w:val="00FA6687"/>
    <w:rsid w:val="00FB23BD"/>
    <w:rsid w:val="00FB2B30"/>
    <w:rsid w:val="00FC1FA1"/>
    <w:rsid w:val="00FC2255"/>
    <w:rsid w:val="00FC2FA1"/>
    <w:rsid w:val="00FC3295"/>
    <w:rsid w:val="00FC4CA3"/>
    <w:rsid w:val="00FC67E7"/>
    <w:rsid w:val="00FE050B"/>
    <w:rsid w:val="00FE10A0"/>
    <w:rsid w:val="00FE457C"/>
    <w:rsid w:val="00FE542D"/>
    <w:rsid w:val="00FE6560"/>
    <w:rsid w:val="00FE7C29"/>
    <w:rsid w:val="00FE7C8C"/>
    <w:rsid w:val="00FF0AC0"/>
    <w:rsid w:val="00FF0C9A"/>
    <w:rsid w:val="00FF33AC"/>
    <w:rsid w:val="00FF404E"/>
    <w:rsid w:val="00FF4D9A"/>
    <w:rsid w:val="00FF4E8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860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494860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494860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94860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94860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94860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94860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94860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94860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94860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494860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494860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494860"/>
    <w:pPr>
      <w:ind w:left="567"/>
    </w:pPr>
  </w:style>
  <w:style w:type="paragraph" w:customStyle="1" w:styleId="Innrykk2">
    <w:name w:val="Innrykk_2"/>
    <w:basedOn w:val="Normal"/>
    <w:rsid w:val="00494860"/>
    <w:pPr>
      <w:ind w:left="1134"/>
    </w:pPr>
  </w:style>
  <w:style w:type="paragraph" w:styleId="Opstilling-talellerbogst">
    <w:name w:val="List Number"/>
    <w:basedOn w:val="Normal"/>
    <w:rsid w:val="00494860"/>
    <w:pPr>
      <w:ind w:left="567" w:hanging="567"/>
    </w:pPr>
  </w:style>
  <w:style w:type="paragraph" w:customStyle="1" w:styleId="Nummerliste2">
    <w:name w:val="Nummerliste_2"/>
    <w:basedOn w:val="Opstilling-talellerbogst"/>
    <w:rsid w:val="00494860"/>
  </w:style>
  <w:style w:type="paragraph" w:customStyle="1" w:styleId="Brevoverskrift">
    <w:name w:val="Brevoverskrift"/>
    <w:basedOn w:val="Normal"/>
    <w:next w:val="Normal"/>
    <w:rsid w:val="00494860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494860"/>
  </w:style>
  <w:style w:type="paragraph" w:customStyle="1" w:styleId="Nummerlisteluft">
    <w:name w:val="Nummerliste_luft"/>
    <w:basedOn w:val="Opstilling-talellerbogst"/>
    <w:rsid w:val="00494860"/>
    <w:pPr>
      <w:spacing w:after="240"/>
    </w:pPr>
  </w:style>
  <w:style w:type="paragraph" w:customStyle="1" w:styleId="Nummerliste2luft">
    <w:name w:val="Nummerliste_2_luft"/>
    <w:basedOn w:val="Nummerliste2"/>
    <w:rsid w:val="00494860"/>
    <w:pPr>
      <w:spacing w:after="240"/>
    </w:pPr>
  </w:style>
  <w:style w:type="paragraph" w:customStyle="1" w:styleId="Nummerliste3luft">
    <w:name w:val="Nummerliste_3_luft"/>
    <w:basedOn w:val="Nummerliste3"/>
    <w:rsid w:val="00494860"/>
    <w:pPr>
      <w:spacing w:after="240"/>
    </w:pPr>
  </w:style>
  <w:style w:type="paragraph" w:styleId="Indholdsfortegnelse2">
    <w:name w:val="toc 2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494860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494860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494860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494860"/>
    <w:pPr>
      <w:tabs>
        <w:tab w:val="right" w:leader="dot" w:pos="9071"/>
      </w:tabs>
      <w:ind w:left="1600"/>
    </w:pPr>
  </w:style>
  <w:style w:type="paragraph" w:styleId="Sidefod">
    <w:name w:val="footer"/>
    <w:link w:val="SidefodTegn"/>
    <w:uiPriority w:val="99"/>
    <w:rsid w:val="00494860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494860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494860"/>
    <w:pPr>
      <w:ind w:left="567" w:hanging="567"/>
    </w:pPr>
  </w:style>
  <w:style w:type="paragraph" w:styleId="Sidehoved">
    <w:name w:val="header"/>
    <w:basedOn w:val="Normal"/>
    <w:rsid w:val="00494860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494860"/>
    <w:rPr>
      <w:b/>
      <w:caps/>
    </w:rPr>
  </w:style>
  <w:style w:type="paragraph" w:customStyle="1" w:styleId="Vedlegg">
    <w:name w:val="Vedlegg"/>
    <w:next w:val="Normal"/>
    <w:rsid w:val="00494860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494860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94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rsid w:val="00494860"/>
  </w:style>
  <w:style w:type="paragraph" w:styleId="Brevhoved">
    <w:name w:val="Message Header"/>
    <w:basedOn w:val="Normal"/>
    <w:rsid w:val="00494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494860"/>
    <w:pPr>
      <w:spacing w:after="60"/>
      <w:jc w:val="center"/>
    </w:pPr>
  </w:style>
  <w:style w:type="paragraph" w:customStyle="1" w:styleId="underskrift">
    <w:name w:val="underskrift"/>
    <w:next w:val="Normal"/>
    <w:rsid w:val="00494860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494860"/>
  </w:style>
  <w:style w:type="paragraph" w:styleId="Opstilling">
    <w:name w:val="List"/>
    <w:basedOn w:val="Normal"/>
    <w:rsid w:val="00494860"/>
    <w:pPr>
      <w:ind w:left="283" w:hanging="283"/>
    </w:pPr>
  </w:style>
  <w:style w:type="paragraph" w:customStyle="1" w:styleId="NummerNiv1">
    <w:name w:val="NummerNivå 1"/>
    <w:basedOn w:val="Nummerlisteluft"/>
    <w:rsid w:val="00494860"/>
    <w:pPr>
      <w:spacing w:after="120"/>
    </w:pPr>
  </w:style>
  <w:style w:type="paragraph" w:styleId="Markeringsbobletekst">
    <w:name w:val="Balloon Text"/>
    <w:basedOn w:val="Normal"/>
    <w:semiHidden/>
    <w:rsid w:val="002373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CA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C628A"/>
    <w:pPr>
      <w:ind w:left="720"/>
      <w:contextualSpacing/>
    </w:pPr>
  </w:style>
  <w:style w:type="character" w:styleId="Hyperlink">
    <w:name w:val="Hyperlink"/>
    <w:basedOn w:val="Standardskrifttypeiafsnit"/>
    <w:rsid w:val="008A337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556FB1"/>
    <w:rPr>
      <w:color w:val="800080" w:themeColor="followedHyperlink"/>
      <w:u w:val="single"/>
    </w:rPr>
  </w:style>
  <w:style w:type="paragraph" w:customStyle="1" w:styleId="kapitel">
    <w:name w:val="kapitel"/>
    <w:basedOn w:val="Normal"/>
    <w:rsid w:val="00857C98"/>
    <w:pPr>
      <w:spacing w:before="400" w:after="100"/>
      <w:ind w:left="0"/>
      <w:jc w:val="center"/>
    </w:pPr>
    <w:rPr>
      <w:rFonts w:ascii="Tahoma" w:hAnsi="Tahoma" w:cs="Tahoma"/>
      <w:color w:val="000000"/>
      <w:szCs w:val="24"/>
      <w:lang w:eastAsia="da-DK"/>
    </w:rPr>
  </w:style>
  <w:style w:type="paragraph" w:customStyle="1" w:styleId="kapiteloverskrift2">
    <w:name w:val="kapiteloverskrift2"/>
    <w:basedOn w:val="Normal"/>
    <w:rsid w:val="00857C98"/>
    <w:pPr>
      <w:spacing w:after="100"/>
      <w:ind w:left="0"/>
      <w:jc w:val="center"/>
    </w:pPr>
    <w:rPr>
      <w:rFonts w:ascii="Tahoma" w:hAnsi="Tahoma" w:cs="Tahoma"/>
      <w:i/>
      <w:iCs/>
      <w:color w:val="000000"/>
      <w:szCs w:val="24"/>
      <w:lang w:eastAsia="da-DK"/>
    </w:rPr>
  </w:style>
  <w:style w:type="paragraph" w:customStyle="1" w:styleId="paragraf">
    <w:name w:val="paragraf"/>
    <w:basedOn w:val="Normal"/>
    <w:rsid w:val="00857C98"/>
    <w:pPr>
      <w:spacing w:before="200"/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stk2">
    <w:name w:val="stk2"/>
    <w:basedOn w:val="Normal"/>
    <w:rsid w:val="00857C98"/>
    <w:pPr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liste10">
    <w:name w:val="liste1"/>
    <w:basedOn w:val="Normal"/>
    <w:rsid w:val="00857C98"/>
    <w:pPr>
      <w:ind w:left="280"/>
    </w:pPr>
    <w:rPr>
      <w:rFonts w:ascii="Tahoma" w:hAnsi="Tahoma" w:cs="Tahoma"/>
      <w:color w:val="000000"/>
      <w:szCs w:val="24"/>
      <w:lang w:eastAsia="da-DK"/>
    </w:rPr>
  </w:style>
  <w:style w:type="character" w:customStyle="1" w:styleId="paragrafnr1">
    <w:name w:val="paragrafnr1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857C98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857C9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ext">
    <w:name w:val="text"/>
    <w:basedOn w:val="Normal"/>
    <w:rsid w:val="00C07F04"/>
    <w:pPr>
      <w:spacing w:before="100" w:beforeAutospacing="1" w:after="100" w:afterAutospacing="1"/>
      <w:ind w:left="0"/>
    </w:pPr>
    <w:rPr>
      <w:rFonts w:ascii="Arial" w:hAnsi="Arial" w:cs="Arial"/>
      <w:color w:val="484E50"/>
      <w:sz w:val="18"/>
      <w:szCs w:val="18"/>
      <w:lang w:eastAsia="da-DK"/>
    </w:rPr>
  </w:style>
  <w:style w:type="paragraph" w:styleId="NormalWeb">
    <w:name w:val="Normal (Web)"/>
    <w:basedOn w:val="Normal"/>
    <w:uiPriority w:val="99"/>
    <w:rsid w:val="006B7A4A"/>
    <w:pPr>
      <w:ind w:left="0"/>
    </w:pPr>
    <w:rPr>
      <w:rFonts w:ascii="Verdana" w:hAnsi="Verdana" w:cs="Verdana"/>
      <w:sz w:val="20"/>
      <w:lang w:eastAsia="uk-UA"/>
    </w:rPr>
  </w:style>
  <w:style w:type="character" w:customStyle="1" w:styleId="SidefodTegn">
    <w:name w:val="Sidefod Tegn"/>
    <w:basedOn w:val="Standardskrifttypeiafsnit"/>
    <w:link w:val="Sidefod"/>
    <w:uiPriority w:val="99"/>
    <w:rsid w:val="005E2938"/>
    <w:rPr>
      <w:rFonts w:ascii="Century Old Style" w:hAnsi="Century Old Style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611C18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Arial" w:hAnsi="Arial" w:cs="Arial"/>
      <w:color w:val="000000"/>
      <w:sz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611C18"/>
    <w:rPr>
      <w:rFonts w:ascii="Arial" w:hAnsi="Arial" w:cs="Arial"/>
      <w:color w:val="000000"/>
    </w:rPr>
  </w:style>
  <w:style w:type="character" w:styleId="Fremhv">
    <w:name w:val="Emphasis"/>
    <w:basedOn w:val="Standardskrifttypeiafsnit"/>
    <w:qFormat/>
    <w:rsid w:val="009964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3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751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1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808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KS_x0020_godkender xmlns="1760cdcc-f1fa-4a61-9db5-777cf718b24e">
      <UserInfo>
        <DisplayName/>
        <AccountId xsi:nil="true"/>
        <AccountType/>
      </UserInfo>
    </KS_x0020_godkender>
    <KS_x0020_Intern_x0020_Audit xmlns="1760cdcc-f1fa-4a61-9db5-777cf718b24e" xsi:nil="true"/>
    <KS_x0020_afdeling xmlns="1760cdcc-f1fa-4a61-9db5-777cf718b24e">BE</KS_x0020_afdeling>
    <KS_x0020_Ansvarlig xmlns="1760cdcc-f1fa-4a61-9db5-777cf718b24e">
      <UserInfo>
        <DisplayName/>
        <AccountId xsi:nil="true"/>
        <AccountType/>
      </UserInfo>
    </KS_x0020_Ansvarlig>
    <KS_x0020_bogstav xmlns="1760cdcc-f1fa-4a61-9db5-777cf718b24e">LO</KS_x0020_bogstav>
    <KS_x0020_dokumenttype xmlns="1760cdcc-f1fa-4a61-9db5-777cf718b24e">Tjeklister</KS_x0020_dokumenttype>
    <KS_x0020_tal xmlns="1760cdcc-f1fa-4a61-9db5-777cf718b24e">09</KS_x0020_tal>
    <KS_x0020_godkendelsesdato xmlns="1760cdcc-f1fa-4a61-9db5-777cf718b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S skabelon" ma:contentTypeID="0x010100C727DD0259BDCF43BB1A36C87D74814C0076B528D93571914E99BC2AD426B3E444" ma:contentTypeVersion="20" ma:contentTypeDescription="" ma:contentTypeScope="" ma:versionID="92bf1be9fcc7338649bf824da15d0638">
  <xsd:schema xmlns:xsd="http://www.w3.org/2001/XMLSchema" xmlns:p="http://schemas.microsoft.com/office/2006/metadata/properties" xmlns:ns2="1760cdcc-f1fa-4a61-9db5-777cf718b24e" targetNamespace="http://schemas.microsoft.com/office/2006/metadata/properties" ma:root="true" ma:fieldsID="ddbae3188e973ff6c778fce8ef397ff1" ns2:_="">
    <xsd:import namespace="1760cdcc-f1fa-4a61-9db5-777cf718b24e"/>
    <xsd:element name="properties">
      <xsd:complexType>
        <xsd:sequence>
          <xsd:element name="documentManagement">
            <xsd:complexType>
              <xsd:all>
                <xsd:element ref="ns2:KS_x0020_afdeling" minOccurs="0"/>
                <xsd:element ref="ns2:KS_x0020_bogstav" minOccurs="0"/>
                <xsd:element ref="ns2:KS_x0020_tal" minOccurs="0"/>
                <xsd:element ref="ns2:KS_x0020_dokumenttype" minOccurs="0"/>
                <xsd:element ref="ns2:KS_x0020_Ansvarlig" minOccurs="0"/>
                <xsd:element ref="ns2:KS_x0020_godkendelsesdato" minOccurs="0"/>
                <xsd:element ref="ns2:KS_x0020_godkender" minOccurs="0"/>
                <xsd:element ref="ns2:KS_x0020_Intern_x0020_Aud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60cdcc-f1fa-4a61-9db5-777cf718b24e" elementFormDefault="qualified">
    <xsd:import namespace="http://schemas.microsoft.com/office/2006/documentManagement/types"/>
    <xsd:element name="KS_x0020_afdeling" ma:index="2" nillable="true" ma:displayName="KS afdeling" ma:default="" ma:format="Dropdown" ma:internalName="KS_x0020_afdeling">
      <xsd:simpleType>
        <xsd:restriction base="dms:Choice">
          <xsd:enumeration value="AG"/>
          <xsd:enumeration value="BE"/>
          <xsd:enumeration value="FM"/>
          <xsd:enumeration value="NM"/>
          <xsd:enumeration value="VP"/>
        </xsd:restriction>
      </xsd:simpleType>
    </xsd:element>
    <xsd:element name="KS_x0020_bogstav" ma:index="3" nillable="true" ma:displayName="KS emne" ma:default="" ma:format="Dropdown" ma:internalName="KS_x0020_bogstav">
      <xsd:simpleType>
        <xsd:restriction base="dms:Choice">
          <xsd:enumeration value="Vælg..."/>
          <xsd:enumeration value="AN"/>
          <xsd:enumeration value="BE"/>
          <xsd:enumeration value="BY"/>
          <xsd:enumeration value="BYG"/>
          <xsd:enumeration value="CA"/>
          <xsd:enumeration value="DE"/>
          <xsd:enumeration value="EJ"/>
          <xsd:enumeration value="ER"/>
          <xsd:enumeration value="GI"/>
          <xsd:enumeration value="HE"/>
          <xsd:enumeration value="KO"/>
          <xsd:enumeration value="LO"/>
          <xsd:enumeration value="MI"/>
          <xsd:enumeration value="OV"/>
          <xsd:enumeration value="PL"/>
          <xsd:enumeration value="PR"/>
          <xsd:enumeration value="RE"/>
          <xsd:enumeration value="SAG"/>
          <xsd:enumeration value="SKI"/>
          <xsd:enumeration value="SKO"/>
          <xsd:enumeration value="UDS"/>
          <xsd:enumeration value="VA"/>
          <xsd:enumeration value="VI"/>
          <xsd:enumeration value="VV"/>
        </xsd:restriction>
      </xsd:simpleType>
    </xsd:element>
    <xsd:element name="KS_x0020_tal" ma:index="4" nillable="true" ma:displayName="KS løbenummer" ma:default="Vælg..." ma:format="Dropdown" ma:internalName="KS_x0020_tal">
      <xsd:simpleType>
        <xsd:restriction base="dms:Choice">
          <xsd:enumeration value="Vælg...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  <xsd:element name="KS_x0020_dokumenttype" ma:index="5" nillable="true" ma:displayName="KS dokumenttype" ma:default="Vælg..." ma:format="Dropdown" ma:internalName="KS_x0020_dokumenttype">
      <xsd:simpleType>
        <xsd:restriction base="dms:Choice">
          <xsd:enumeration value="Vælg..."/>
          <xsd:enumeration value="Procedure"/>
          <xsd:enumeration value="Bilag"/>
          <xsd:enumeration value="Baggrundsviden"/>
          <xsd:enumeration value="Tjeklister"/>
          <xsd:enumeration value="Kursusmateriale"/>
        </xsd:restriction>
      </xsd:simpleType>
    </xsd:element>
    <xsd:element name="KS_x0020_Ansvarlig" ma:index="6" nillable="true" ma:displayName="KS Ansvarlig" ma:list="UserInfo" ma:internalName="KS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godkendelsesdato" ma:index="7" nillable="true" ma:displayName="KS godkendelsesdato" ma:format="DateOnly" ma:internalName="KS_x0020_godkendelsesdato">
      <xsd:simpleType>
        <xsd:restriction base="dms:DateTime"/>
      </xsd:simpleType>
    </xsd:element>
    <xsd:element name="KS_x0020_godkender" ma:index="8" nillable="true" ma:displayName="KS godkender" ma:list="UserInfo" ma:internalName="KS_x0020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Intern_x0020_Audit" ma:index="9" nillable="true" ma:displayName="KS Intern Audit" ma:format="DateOnly" ma:internalName="KS_x0020_Intern_x0020_Audi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EA4A-764A-419C-B167-E7BD2AB36E5D}">
  <ds:schemaRefs>
    <ds:schemaRef ds:uri="http://schemas.microsoft.com/office/2006/metadata/properties"/>
    <ds:schemaRef ds:uri="1760cdcc-f1fa-4a61-9db5-777cf718b24e"/>
  </ds:schemaRefs>
</ds:datastoreItem>
</file>

<file path=customXml/itemProps2.xml><?xml version="1.0" encoding="utf-8"?>
<ds:datastoreItem xmlns:ds="http://schemas.openxmlformats.org/officeDocument/2006/customXml" ds:itemID="{FE846FEB-D8D5-45A4-A2D6-E62B07B81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3EDF4-6A49-4FC0-B877-CDF784A0A92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7C1680-745C-467B-8BFB-4ED6924F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0cdcc-f1fa-4a61-9db5-777cf718b2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99A8D65-E3B3-4539-ADB1-51A3078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Indsigelsesnotat LP324</vt:lpstr>
    </vt:vector>
  </TitlesOfParts>
  <Company>Konsulent Jakobsen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Indsigelsesnotat LP324</dc:title>
  <dc:creator>teek</dc:creator>
  <cp:lastModifiedBy>Eszter Knoll Andersen</cp:lastModifiedBy>
  <cp:revision>2</cp:revision>
  <cp:lastPrinted>2016-04-21T14:45:00Z</cp:lastPrinted>
  <dcterms:created xsi:type="dcterms:W3CDTF">2016-04-26T07:32:00Z</dcterms:created>
  <dcterms:modified xsi:type="dcterms:W3CDTF">2016-04-26T07:32:00Z</dcterms:modified>
  <cp:contentType>KS skabelon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ContentTypeId">
    <vt:lpwstr>0x010100C727DD0259BDCF43BB1A36C87D74814C0076B528D93571914E99BC2AD426B3E444</vt:lpwstr>
  </property>
  <property fmtid="{D5CDD505-2E9C-101B-9397-08002B2CF9AE}" pid="4" name="OfficeInstanceGUID">
    <vt:lpwstr>{49644B7C-033A-4AD9-8D9D-5A487492F272}</vt:lpwstr>
  </property>
</Properties>
</file>